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CA" w:rsidRDefault="00E8146F">
      <w:pPr>
        <w:spacing w:after="0" w:line="240" w:lineRule="auto"/>
        <w:jc w:val="center"/>
        <w:rPr>
          <w:rFonts w:eastAsia="Times New Roman" w:cs="Times New Roman"/>
          <w:sz w:val="22"/>
          <w:szCs w:val="22"/>
          <w:lang w:eastAsia="de-DE"/>
        </w:rPr>
      </w:pPr>
      <w:bookmarkStart w:id="0" w:name="_GoBack"/>
      <w:bookmarkEnd w:id="0"/>
      <w:r>
        <w:rPr>
          <w:rFonts w:eastAsia="Times New Roman" w:cs="Times New Roman"/>
          <w:sz w:val="22"/>
          <w:szCs w:val="22"/>
          <w:lang w:eastAsia="de-DE"/>
        </w:rPr>
        <w:t xml:space="preserve">Verordnung </w:t>
      </w:r>
    </w:p>
    <w:p w:rsidR="00DE0FCA" w:rsidRDefault="00DE0FCA">
      <w:pPr>
        <w:spacing w:after="0" w:line="240" w:lineRule="auto"/>
        <w:jc w:val="center"/>
        <w:rPr>
          <w:rFonts w:eastAsia="Times New Roman" w:cs="Times New Roman"/>
          <w:sz w:val="22"/>
          <w:szCs w:val="22"/>
          <w:lang w:eastAsia="de-DE"/>
        </w:rPr>
      </w:pP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 xml:space="preserve">über erforderliche Maßnahmen zur Eindämmung der </w:t>
      </w: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Ausbreitung des neuartigen Coronavirus SARS-CoV-2 in Berlin</w:t>
      </w: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(SARS-CoV-2-Eindämmungsmaßnahmenverordnung – SARS-CoV-2-EindmaßnV)</w:t>
      </w:r>
    </w:p>
    <w:p w:rsidR="00DE0FCA" w:rsidRDefault="00DE0FCA">
      <w:pPr>
        <w:spacing w:after="0" w:line="240" w:lineRule="auto"/>
        <w:jc w:val="center"/>
        <w:rPr>
          <w:rFonts w:eastAsia="Times New Roman" w:cs="Times New Roman"/>
          <w:sz w:val="22"/>
          <w:szCs w:val="22"/>
          <w:lang w:eastAsia="de-DE"/>
        </w:rPr>
      </w:pP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Vom 22. März 2020</w:t>
      </w:r>
    </w:p>
    <w:p w:rsidR="00DE0FCA" w:rsidRDefault="00DE0FCA">
      <w:pPr>
        <w:spacing w:after="0" w:line="240" w:lineRule="auto"/>
        <w:rPr>
          <w:rFonts w:eastAsia="Times New Roman" w:cs="Times New Roman"/>
          <w:sz w:val="22"/>
          <w:szCs w:val="22"/>
          <w:lang w:eastAsia="de-DE"/>
        </w:rPr>
      </w:pPr>
    </w:p>
    <w:p w:rsidR="00DE0FCA" w:rsidRDefault="00DE0FCA">
      <w:pPr>
        <w:spacing w:after="0" w:line="240" w:lineRule="auto"/>
        <w:rPr>
          <w:rFonts w:eastAsia="Times New Roman" w:cs="Times New Roman"/>
          <w:sz w:val="22"/>
          <w:szCs w:val="22"/>
          <w:lang w:eastAsia="de-DE"/>
        </w:rPr>
      </w:pP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Aufgrund des § 32 Abs. 1 des Infektionsschutzgesetzes vom 20. Juli 2000 (BGBl. I S. 1045),</w:t>
      </w: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das zuletzt durch Artikel 1 des Gesetzes vom 10. Februar 2020 (BGBl. I S. 148) geändert</w:t>
      </w: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worden ist, wird verordnet:</w:t>
      </w:r>
    </w:p>
    <w:p w:rsidR="00DE0FCA" w:rsidRDefault="00DE0FCA">
      <w:pPr>
        <w:spacing w:after="0" w:line="240" w:lineRule="auto"/>
        <w:jc w:val="both"/>
        <w:rPr>
          <w:rFonts w:eastAsia="Times New Roman" w:cs="Times New Roman"/>
          <w:sz w:val="22"/>
          <w:szCs w:val="22"/>
          <w:lang w:eastAsia="de-DE"/>
        </w:rPr>
      </w:pP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1. Teil</w:t>
      </w: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Bestimmungen für Veranstaltungen und Einrichtungen des gesellschaftlichen Lebens</w:t>
      </w:r>
    </w:p>
    <w:p w:rsidR="00DE0FCA" w:rsidRDefault="00DE0FCA">
      <w:pPr>
        <w:spacing w:after="0" w:line="240" w:lineRule="auto"/>
        <w:jc w:val="center"/>
        <w:rPr>
          <w:rFonts w:eastAsia="Times New Roman" w:cs="Times New Roman"/>
          <w:sz w:val="22"/>
          <w:szCs w:val="22"/>
          <w:lang w:eastAsia="de-DE"/>
        </w:rPr>
      </w:pPr>
    </w:p>
    <w:p w:rsidR="00DE0FCA" w:rsidRDefault="00E8146F">
      <w:pPr>
        <w:spacing w:after="0" w:line="240" w:lineRule="auto"/>
        <w:jc w:val="center"/>
        <w:rPr>
          <w:sz w:val="22"/>
          <w:szCs w:val="22"/>
        </w:rPr>
      </w:pPr>
      <w:r>
        <w:rPr>
          <w:sz w:val="22"/>
          <w:szCs w:val="22"/>
        </w:rPr>
        <w:t>§ 1</w:t>
      </w:r>
      <w:r>
        <w:rPr>
          <w:sz w:val="22"/>
          <w:szCs w:val="22"/>
        </w:rPr>
        <w:br/>
        <w:t>Veranstaltungen, Versammlungen, Zusammenkünfte und Ansammlungen</w:t>
      </w:r>
    </w:p>
    <w:p w:rsidR="00DE0FCA" w:rsidRDefault="00DE0FCA">
      <w:pPr>
        <w:spacing w:after="0" w:line="240" w:lineRule="auto"/>
        <w:jc w:val="center"/>
        <w:rPr>
          <w:sz w:val="22"/>
          <w:szCs w:val="22"/>
        </w:rPr>
      </w:pPr>
    </w:p>
    <w:p w:rsidR="00DE0FCA" w:rsidRDefault="00E8146F">
      <w:pPr>
        <w:spacing w:after="0" w:line="240" w:lineRule="auto"/>
        <w:jc w:val="both"/>
        <w:rPr>
          <w:sz w:val="22"/>
          <w:szCs w:val="22"/>
        </w:rPr>
      </w:pPr>
      <w:r>
        <w:rPr>
          <w:sz w:val="22"/>
          <w:szCs w:val="22"/>
        </w:rPr>
        <w:t xml:space="preserve">(1) Öffentliche und nichtöffentliche Veranstaltungen, Versammlungen, Zusammenkünfte und Ansammlungen dürfen nicht stattfinden. </w:t>
      </w:r>
    </w:p>
    <w:p w:rsidR="00DE0FCA" w:rsidRDefault="00E8146F">
      <w:pPr>
        <w:spacing w:after="0" w:line="240" w:lineRule="auto"/>
        <w:jc w:val="both"/>
        <w:rPr>
          <w:sz w:val="22"/>
          <w:szCs w:val="22"/>
        </w:rPr>
      </w:pPr>
      <w:r>
        <w:rPr>
          <w:sz w:val="22"/>
          <w:szCs w:val="22"/>
        </w:rPr>
        <w:t xml:space="preserve">(2) Vom Verbot des Absatzes 1 ausgenommen sind Veranstaltungen und Zusammenkünfte, einschließlich Sitzungen des Deutschen Bundestages und seiner Ausschüsse, des Bundesrates und seiner Ausschüsse, des Abgeordnetenhauses und seiner Ausschüsse, der Bundesregierung, des Senats von Berlin, des Verfassungsgerichtshofes von Berlin, der Bezirksverordnetenversammlungen und ihrer Ausschüsse sowie der Auslandsvertretungen, der Gerichte, der Gremien und Behörden von Bund und Ländern sowie anderer Stellen und Einrichtungen, die öffentlich-rechtliche Aufgaben wahrnehmen. </w:t>
      </w:r>
    </w:p>
    <w:p w:rsidR="00DE0FCA" w:rsidRDefault="00E8146F">
      <w:pPr>
        <w:spacing w:after="0" w:line="240" w:lineRule="auto"/>
        <w:jc w:val="both"/>
        <w:rPr>
          <w:sz w:val="22"/>
          <w:szCs w:val="22"/>
        </w:rPr>
      </w:pPr>
      <w:r>
        <w:rPr>
          <w:sz w:val="22"/>
          <w:szCs w:val="22"/>
        </w:rPr>
        <w:t>(3) Ebenso ausgenommen sind Veranstaltungen und Zusammenkünfte, die der Aufrechterhaltung der öffentlichen Sicherheit und Ordnung, der öffentlich-rechtlichen Leistungserbringung, der Versorgung und der Gesundheitsfürsorge der Bevölkerung, der Aufrechterhaltung des Betriebs von Wirtschaftsunternehmen oder der Erfüllung von personalvertretungsrechtlichen Aufgaben dienen.</w:t>
      </w:r>
    </w:p>
    <w:p w:rsidR="00DE0FCA" w:rsidRDefault="00E8146F">
      <w:pPr>
        <w:spacing w:after="0" w:line="240" w:lineRule="auto"/>
        <w:jc w:val="both"/>
        <w:rPr>
          <w:sz w:val="22"/>
          <w:szCs w:val="22"/>
        </w:rPr>
      </w:pPr>
      <w:r>
        <w:rPr>
          <w:sz w:val="22"/>
          <w:szCs w:val="22"/>
        </w:rPr>
        <w:t xml:space="preserve">(4) Nicht erfasst von dem Verbot des Absatzes 1 ist der außerhäusliche Aufenthalt mehrerer Personen in Sinne von § 14 Absatz 3 Buchstabe h. Ausgenommen vom Verbot von Absatz 1 sind zudem Veranstaltungen und Zusammenkünfte im privaten oder familiären Bereich von bis zu 10 Personen, sofern diese aus zwingenden Gründen erforderlich sind. Hiervon erfasst sind insbesondere die Begleitung Sterbender und Trauerfeiern. </w:t>
      </w:r>
    </w:p>
    <w:p w:rsidR="00DE0FCA" w:rsidRDefault="00E8146F">
      <w:pPr>
        <w:spacing w:after="0" w:line="240" w:lineRule="auto"/>
        <w:jc w:val="both"/>
        <w:rPr>
          <w:sz w:val="22"/>
          <w:szCs w:val="22"/>
        </w:rPr>
      </w:pPr>
      <w:r>
        <w:rPr>
          <w:sz w:val="22"/>
          <w:szCs w:val="22"/>
        </w:rPr>
        <w:t>(5) Unvermeidbare Zusammenkünfte und Ansammlungen anlässlich der nach dieser Verordnung zugelassenen Tätigkeiten, insbesondere bei der Nutzung des öffentlichen Personennahverkehrs, sind ebenfalls vom Verbot des Absatzes 1 ausgenommen.</w:t>
      </w:r>
    </w:p>
    <w:p w:rsidR="00DE0FCA" w:rsidRDefault="00E8146F">
      <w:pPr>
        <w:spacing w:after="0" w:line="240" w:lineRule="auto"/>
        <w:jc w:val="both"/>
        <w:rPr>
          <w:sz w:val="22"/>
          <w:szCs w:val="22"/>
        </w:rPr>
      </w:pPr>
      <w:r>
        <w:rPr>
          <w:sz w:val="22"/>
          <w:szCs w:val="22"/>
        </w:rPr>
        <w:t>(6) Bei den nach Absatz 2, 3 und 4 Satz 3 vom Verbot ausgenommen Veranstaltungen und Zusammenkünften sind die anwesenden Personen in einer Anwesenheitsliste zu erfassen, die mindestens die folgenden Angaben enthalten muss: Vor- und Familienname, vollständige Anschrift und Telefonnummer. Die Anwesenheitsliste ist für die Dauer von vier Wochen nach Ende der Veranstaltung aufzubewahren und der zuständigen Behörde auf Verlangen vollständig auszuhändigen</w:t>
      </w:r>
    </w:p>
    <w:p w:rsidR="00DE0FCA" w:rsidRDefault="00E8146F">
      <w:pPr>
        <w:spacing w:after="0" w:line="240" w:lineRule="auto"/>
        <w:jc w:val="both"/>
        <w:rPr>
          <w:sz w:val="22"/>
          <w:szCs w:val="22"/>
        </w:rPr>
      </w:pPr>
      <w:r>
        <w:rPr>
          <w:sz w:val="22"/>
          <w:szCs w:val="22"/>
        </w:rPr>
        <w:t>(7) Für Versammlungen unter freiem Himmel von bis zu 20 Teilnehmenden kann die Versammlungsbehörde in besonders gelagerten Einzelfällen auf Antrag Ausnahmen vom Verbot des Absatz 1 zulassen, sofern dies im Einzelfall aus infektionsschutzrechtlicher Sicht vertretbar ist. Das zuständige Gesundheitsamt ist fachlich an der Entscheidung nach Satz 1 zu beteiligen.</w:t>
      </w:r>
    </w:p>
    <w:p w:rsidR="00DE0FCA" w:rsidRDefault="00E8146F">
      <w:pPr>
        <w:rPr>
          <w:rFonts w:eastAsia="Times New Roman" w:cs="Times New Roman"/>
          <w:sz w:val="22"/>
          <w:szCs w:val="22"/>
          <w:lang w:eastAsia="de-DE"/>
        </w:rPr>
      </w:pPr>
      <w:r>
        <w:rPr>
          <w:rFonts w:eastAsia="Times New Roman" w:cs="Times New Roman"/>
          <w:sz w:val="22"/>
          <w:szCs w:val="22"/>
          <w:lang w:eastAsia="de-DE"/>
        </w:rPr>
        <w:br w:type="page"/>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 2</w:t>
      </w: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Besondere Arten von Gewerbebetrieben</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(1) Gewerbebetriebe der folgenden Arten im Sinne der Gewerbeordnung in der Fassung der</w:t>
      </w: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Bekanntmachung vom 22. Februar 1999 (BGBl. I S. 202), die zuletzt durch Artikel 15 des Gesetzes vom 22. November 2019 (BGBl. I S. 1746) geändert worden ist, dürfen nicht für den</w:t>
      </w: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Publikumsverkehr geöffnet werden: Tanzlustbarkeiten, Messen, Ausstellungen, Spezialmärkte, Spielhallen, Spielbanken, Wettvermittlungsstellen und ähnliche Unternehmen.</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(2) Vergnügungsstätten im Sinne der Baunutzungsverordnung in der Fassung der Bekanntmachung vom 21. November 2017 (BGBl. I S. 3786) dürfen nicht für den Publikumsverkehr geöffnet werden.</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(3) Kinos, Theater, Konzerthäuser, Museen und ähnliche Bildungseinrichtungen in öffentlicher und privater Trägerschaft dürfen nicht für den Publikumsverkehr geöffnet werden.</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both"/>
        <w:rPr>
          <w:sz w:val="22"/>
          <w:szCs w:val="22"/>
        </w:rPr>
      </w:pPr>
      <w:r>
        <w:rPr>
          <w:rFonts w:eastAsia="Times New Roman" w:cs="Times New Roman"/>
          <w:sz w:val="22"/>
          <w:szCs w:val="22"/>
          <w:lang w:eastAsia="de-DE"/>
        </w:rPr>
        <w:t>(4)</w:t>
      </w:r>
      <w:r>
        <w:rPr>
          <w:sz w:val="22"/>
          <w:szCs w:val="22"/>
        </w:rPr>
        <w:t xml:space="preserve"> Prostitutionsgewerbe im Sinne des Prostituiertenschutzgesetzes vom 21. Oktober 2016 (BGBl. I S. 2372), das durch Artikel 57 des Gesetzes vom 20. November 2019 (BGBl. I S. 1626) geändert worden ist, dürfen weder für den Publikumsverkehr geöffnet werden, noch ihre Dienste außerhalb ihrer Betriebsstätte erbringen.</w:t>
      </w:r>
    </w:p>
    <w:p w:rsidR="00DE0FCA" w:rsidRDefault="00DE0FCA">
      <w:pPr>
        <w:spacing w:after="0" w:line="240" w:lineRule="auto"/>
        <w:jc w:val="both"/>
        <w:rPr>
          <w:sz w:val="22"/>
          <w:szCs w:val="22"/>
        </w:rPr>
      </w:pPr>
    </w:p>
    <w:p w:rsidR="00DE0FCA" w:rsidRDefault="00E8146F">
      <w:pPr>
        <w:spacing w:after="0" w:line="240" w:lineRule="auto"/>
        <w:jc w:val="both"/>
        <w:rPr>
          <w:rStyle w:val="Kommentarzeichen"/>
          <w:sz w:val="22"/>
          <w:szCs w:val="22"/>
        </w:rPr>
      </w:pPr>
      <w:r>
        <w:rPr>
          <w:sz w:val="22"/>
          <w:szCs w:val="22"/>
        </w:rPr>
        <w:t>(5) Dienstleistungsgewerbe im Bereich der Körperpflege wie Friseure, Kosmetikstudios, Massagepraxen, Tattoo-Studios und ähnliche Betriebe dürfen weder für den Publikumsverkehr geöffnet werden noch ihre Dienste anbieten. Das gilt nicht für medizinisch notwendige Behandlungen.</w:t>
      </w:r>
      <w:r>
        <w:rPr>
          <w:rStyle w:val="Kommentarzeichen"/>
        </w:rPr>
        <w:t xml:space="preserve"> </w:t>
      </w:r>
      <w:r>
        <w:rPr>
          <w:rStyle w:val="Kommentarzeichen"/>
          <w:sz w:val="22"/>
          <w:szCs w:val="22"/>
        </w:rPr>
        <w:t xml:space="preserve"> </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 3</w:t>
      </w: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Gaststätten und Hotels</w:t>
      </w:r>
    </w:p>
    <w:p w:rsidR="00DE0FCA" w:rsidRDefault="00DE0FCA">
      <w:pPr>
        <w:spacing w:after="0" w:line="240" w:lineRule="auto"/>
        <w:jc w:val="center"/>
        <w:rPr>
          <w:rFonts w:eastAsia="Times New Roman" w:cs="Times New Roman"/>
          <w:sz w:val="22"/>
          <w:szCs w:val="22"/>
          <w:lang w:eastAsia="de-DE"/>
        </w:rPr>
      </w:pP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 xml:space="preserve">(1) </w:t>
      </w:r>
      <w:r>
        <w:rPr>
          <w:sz w:val="22"/>
          <w:szCs w:val="22"/>
        </w:rPr>
        <w:t>Gaststätten im Sinne des Gaststättengesetzes in der Fassung der Bekanntmachung vom 20. November 1998 (BGBl. I S. 3418), das zuletzt durch Artikel 14 des Gesetzes vom 10. März 2017 (BGBl. I S. 420) geändert worden ist, inklusive Shisha-Bars, dürfen nicht für den Publikumsverkehr geöffnet werden. Sie dürfen Speisen und Getränke zur Abholung oder zur Lieferung anbieten. Für die Abholung, auch durch Lieferdienste, sind geeignete Vorkehrung zur Hygiene, zur Steuerung des Zutritts und zur Vermeidung von Warteschlangen zu treffen.</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(2) Hotels und andere Beherbergungsbetriebe dürfen keine touristischen Übernachtungen anbieten.</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 3a</w:t>
      </w: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Einzelhandel</w:t>
      </w:r>
    </w:p>
    <w:p w:rsidR="00DE0FCA" w:rsidRDefault="00DE0FCA">
      <w:pPr>
        <w:spacing w:after="0" w:line="240" w:lineRule="auto"/>
        <w:jc w:val="center"/>
        <w:rPr>
          <w:rFonts w:eastAsia="Times New Roman" w:cs="Times New Roman"/>
          <w:sz w:val="22"/>
          <w:szCs w:val="22"/>
          <w:lang w:eastAsia="de-DE"/>
        </w:rPr>
      </w:pP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 xml:space="preserve">(1) Verkaufsstellen </w:t>
      </w:r>
      <w:r>
        <w:rPr>
          <w:sz w:val="22"/>
          <w:szCs w:val="22"/>
        </w:rPr>
        <w:t>im Sinne des Berliner Ladenöffnungsgesetzes vom 14. November 2006 (GVBl. S. 1045), das zuletzt durch das Gesetz vom 13. Oktober 2010 (GVBl. S. 467) geändert worden ist,</w:t>
      </w:r>
      <w:r>
        <w:rPr>
          <w:rFonts w:eastAsia="Times New Roman" w:cs="Times New Roman"/>
          <w:sz w:val="22"/>
          <w:szCs w:val="22"/>
          <w:lang w:eastAsia="de-DE"/>
        </w:rPr>
        <w:t xml:space="preserve"> dürfen nicht geöffnet werden.</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(2) Ausgenommen vom Verbot nach Absatz 1 ist der Einzelhandel für Lebensmittel und Getränke einschließlich Spätverkaufsstellen, Abhol- und Lieferdienste, Wochenmärkte mit Beschränkung auf die für den Einzelhandel in dieser Verordnung zugelassenen Sortimente, Apotheken, Einrichtungen mit Sanitätsbedarf sowie zum Erwerb von Hör- und Sehhilfen, Drogerien, Tankstellen, Waschsalons, der Zeitungsverkauf und Buchhandel, Einzelhandel für Bau-, Gartenbau- und Tierbedarf, Fahrradgeschäfte, Handwerk und Handwerkerbedarf und Großhandel.</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both"/>
        <w:rPr>
          <w:sz w:val="22"/>
          <w:szCs w:val="22"/>
        </w:rPr>
      </w:pPr>
      <w:r>
        <w:rPr>
          <w:rFonts w:eastAsia="Times New Roman" w:cs="Times New Roman"/>
          <w:sz w:val="22"/>
          <w:szCs w:val="22"/>
          <w:lang w:eastAsia="de-DE"/>
        </w:rPr>
        <w:t xml:space="preserve">(3) </w:t>
      </w:r>
      <w:r>
        <w:rPr>
          <w:sz w:val="22"/>
          <w:szCs w:val="22"/>
        </w:rPr>
        <w:t>Bei der Öffnung der in Absatz 2 genannten Einrichtungen sind geeignete Vorkehrung zur Hygiene, zur Steuerung des Zutritts und zur Vermeidung von Warteschlangen zu treffen</w:t>
      </w:r>
    </w:p>
    <w:p w:rsidR="00DE0FCA" w:rsidRDefault="00DE0FCA">
      <w:pPr>
        <w:spacing w:after="0" w:line="240" w:lineRule="auto"/>
        <w:jc w:val="both"/>
        <w:rPr>
          <w:rFonts w:eastAsia="Times New Roman" w:cs="Times New Roman"/>
          <w:sz w:val="22"/>
          <w:szCs w:val="22"/>
          <w:lang w:eastAsia="de-DE"/>
        </w:rPr>
      </w:pPr>
    </w:p>
    <w:p w:rsidR="00DE0FCA" w:rsidRDefault="00DE0FCA">
      <w:pPr>
        <w:spacing w:after="0" w:line="240" w:lineRule="auto"/>
        <w:rPr>
          <w:rFonts w:eastAsia="Times New Roman" w:cs="Times New Roman"/>
          <w:sz w:val="22"/>
          <w:szCs w:val="22"/>
          <w:lang w:eastAsia="de-DE"/>
        </w:rPr>
      </w:pP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 4</w:t>
      </w:r>
      <w:r>
        <w:rPr>
          <w:rFonts w:eastAsia="Times New Roman" w:cs="Times New Roman"/>
          <w:sz w:val="22"/>
          <w:szCs w:val="22"/>
          <w:lang w:eastAsia="de-DE"/>
        </w:rPr>
        <w:br/>
        <w:t>Badeanstalten, Sportstätten und Sportbetrieb</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(1) Der Sportbetrieb auf und in allen öffentlichen und privaten Sportanlagen, Schwimmbädern, Fitnessstudios, Saunen, Solarien u. ä. wird untersagt.</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(2) Ausnahmen von der Untersagung nach Absatz 1 können in besonders begründeten Einzelfällen ausschließlich durch schriftliche Genehmigung der für Sport zuständigen Senatsverwaltung zugelassen werden. Dies gilt insbesondere für</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ind w:left="708"/>
        <w:jc w:val="both"/>
        <w:rPr>
          <w:rFonts w:eastAsia="Times New Roman" w:cs="Times New Roman"/>
          <w:sz w:val="22"/>
          <w:szCs w:val="22"/>
          <w:lang w:eastAsia="de-DE"/>
        </w:rPr>
      </w:pPr>
      <w:r>
        <w:rPr>
          <w:rFonts w:eastAsia="Times New Roman" w:cs="Times New Roman"/>
          <w:sz w:val="22"/>
          <w:szCs w:val="22"/>
          <w:lang w:eastAsia="de-DE"/>
        </w:rPr>
        <w:t>a) den Sportbetrieb von Kaderathleten in Vorbereitung auf die Olympischen und Paralympischen Spiele 2020, wenn die beantragten Trainingseinheiten für die Vorbereitung zwingend erforderlich sind,</w:t>
      </w:r>
    </w:p>
    <w:p w:rsidR="00DE0FCA" w:rsidRDefault="00E8146F">
      <w:pPr>
        <w:spacing w:after="0" w:line="240" w:lineRule="auto"/>
        <w:ind w:left="708"/>
        <w:jc w:val="both"/>
        <w:rPr>
          <w:rFonts w:eastAsia="Times New Roman" w:cs="Times New Roman"/>
          <w:sz w:val="22"/>
          <w:szCs w:val="22"/>
          <w:lang w:eastAsia="de-DE"/>
        </w:rPr>
      </w:pPr>
      <w:r>
        <w:rPr>
          <w:rFonts w:eastAsia="Times New Roman" w:cs="Times New Roman"/>
          <w:sz w:val="22"/>
          <w:szCs w:val="22"/>
          <w:lang w:eastAsia="de-DE"/>
        </w:rPr>
        <w:t>b) den Sportbetrieb mit Tieren, soweit dieser im Hinblick auf das Tierwohl zwingend erforderlich ist.</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(3) Soweit für die Vergabe der öffentlichen Sportanlage vor Inkrafttreten dieser Verordnung eine andere Vergabestelle des Landes Berlin zuständig war, wird die für Sport zuständigen Senatsverwaltung diese bei der Entscheidung über eine Ausnahme beteiligen.</w:t>
      </w:r>
    </w:p>
    <w:p w:rsidR="00DE0FCA" w:rsidRDefault="00DE0FCA">
      <w:pPr>
        <w:spacing w:after="0" w:line="240" w:lineRule="auto"/>
        <w:jc w:val="both"/>
        <w:rPr>
          <w:rFonts w:eastAsia="Times New Roman" w:cs="Times New Roman"/>
          <w:sz w:val="22"/>
          <w:szCs w:val="22"/>
          <w:lang w:eastAsia="de-DE"/>
        </w:rPr>
      </w:pP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2. Teil</w:t>
      </w:r>
    </w:p>
    <w:p w:rsidR="00DE0FCA" w:rsidRDefault="00E8146F">
      <w:pPr>
        <w:pStyle w:val="Listenabsatz"/>
        <w:jc w:val="center"/>
        <w:rPr>
          <w:sz w:val="22"/>
          <w:szCs w:val="22"/>
        </w:rPr>
      </w:pPr>
      <w:r>
        <w:rPr>
          <w:sz w:val="22"/>
          <w:szCs w:val="22"/>
        </w:rPr>
        <w:t xml:space="preserve">Bestimmungen für Krankenhäuser und Pflegeheime, für Leistungen der Eingliederungshilfe sowie für Leistungen nach dem 8. Kapitel des SGB XII </w:t>
      </w:r>
    </w:p>
    <w:p w:rsidR="00DE0FCA" w:rsidRDefault="00E8146F">
      <w:pPr>
        <w:pStyle w:val="Listenabsatz"/>
        <w:jc w:val="center"/>
        <w:rPr>
          <w:sz w:val="22"/>
          <w:szCs w:val="22"/>
        </w:rPr>
      </w:pPr>
      <w:r>
        <w:rPr>
          <w:sz w:val="22"/>
          <w:szCs w:val="22"/>
        </w:rPr>
        <w:t>und ähnliche Einrichtungen</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 5</w:t>
      </w: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Krankenhäuser</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(1) Krankenhäuser im Sinne des Landeskrankenhausgesetzes vom 18. September 2011 (GVBl. S. 483), das zuletzt durch Artikel 15 des Gesetzes vom 02.02.2018 (GVBl. S. 160) geändert worden ist, die an der Notfallversorgung teilnehmen, müssen, soweit medizinisch vertretbar, grundsätzlich alle planbaren Aufnahmen, Operationen und Eingriffe aussetzen, soweit dadurch personelle und sonstige Kapazitäten für die Behandlung von Patientinnen und Patienten mit COVID-19 oder Verdacht hierauf freigesetzt werden können. Die gleiche Pflicht trifft die übrigen Krankenhäuser ab dem 25. März 2020.</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(2) Krankenhäuser haben die notwendigen Maßnahmen zu treffen, um ihr ärztliches und pflegerisches Personal unverzüglich auf dem Gebiet der Intensivpflege mit Beatmungseinheiten und der Behandlung von Patientinnen und Patienten mit COVID-19 oder Verdacht hierauf zu schulen.</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(3) Krankenhäuser müssen, soweit medizinisch vertretbar, ihre personellen und sonstigen</w:t>
      </w: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Ressourcen schwerpunktmäßig für die Behandlung von Patientinnen und Patienten mit</w:t>
      </w: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COVID-19 oder Verdacht hierauf einsetzen.</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 6</w:t>
      </w: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Besuchsregelungen</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lastRenderedPageBreak/>
        <w:t>(1) Patientinnen und Patienten in Krankenhäusern dürfen vorbehaltlich des Absatzes 2 keinen Besuch empfangen.</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(2) Kinder unter 16 Jahren und Schwerstkranke dürfen einmal am Tag von einer Person für</w:t>
      </w: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eine Stunde Besuch empfangen, allerdings nicht von Menschen mit Atemwegsinfektionen.</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(3) Bewohnerinnen und Bewohner von Pflegeheimen und besonderen Wohnformen im Sinne des Neunten Buchs Sozialgesetzbuch vom 23. Dezember 2016 (BGBl. I S. 3234), das zuletzt</w:t>
      </w: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durch Artikel 8 des Gesetzes vom 14. Dezember 2019 (BGBl. I S. 2789) geändert worden ist,</w:t>
      </w: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dürfen einmal am Tag von einer Person für eine Stunde Besuch empfangen, allerdings nicht</w:t>
      </w: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von Kindern unter 16 Jahren oder von Menschen mit Atemwegsinfektionen.</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(4) Patientinnen und Patienten in Einrichtungen der Sterbebegleitung sowie Bewohnerinnen und Bewohner von solchen Einrichtungen und Schwerstkranke und Sterbende unterliegen keinen Beschränkungen für den Empfang von Besuch.</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(5) Gebärende dürfen sich zur Geburt in einem Krankenhaus von einer Person eigener Wahl begleiten lassen. Neugeborene und deren Mütter dürfen einmal am Tag von einer Person für eine Stunde Besuch empfangen, allerdings nicht von Kindern unter 16 Jahren, ausgenommen Geschwister des Neugeborenen, oder von Menschen mit Atemwegsinfektionen.</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(6) Besuche von mit der Seelsorge betrauten Personen sind, gegebenenfalls unter Auferlegung erforderlicher Verhaltensmaßregeln, stets zulässig.</w:t>
      </w:r>
    </w:p>
    <w:p w:rsidR="00DE0FCA" w:rsidRDefault="00DE0FCA">
      <w:pPr>
        <w:spacing w:after="0" w:line="240" w:lineRule="auto"/>
        <w:rPr>
          <w:rFonts w:eastAsia="Times New Roman" w:cs="Times New Roman"/>
          <w:sz w:val="22"/>
          <w:szCs w:val="22"/>
          <w:lang w:eastAsia="de-DE"/>
        </w:rPr>
      </w:pP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 7</w:t>
      </w: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Einrichtungen der Tages- und Nachtpflege</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(1) Einrichtungen der Tages- und Nachtpflege im Sinne des Elften Buchs Sozialgesetzbuch – Soziale Pflegeversicherung – (Artikel 1 des Gesetzes vom 26. Mai 1994, BGBl. I S. 1014, 1015), das zuletzt durch Artikel 2a des Gesetzes vom 4. März 2020 (BGBl. I S. 437) geändert worden ist, dürfen vorbehaltlich des Absatzes 2 nicht für den Pflegebetrieb geöffnet werden.</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(2) Einrichtungen der in Absatz 1 bezeichneten Art können einen eingeschränkten Betrieb für eine Notbetreuung von Pflegebedürftigen anbieten, deren Angehörige eine berufliche Tätigkeit ausüben, die für die Aufrechterhaltung des öffentlichen Lebens insbesondere im Bereich der Gesundheit, Pflege, der öffentlichen Sicherheit und Versorgung erforderlich ist oder für solche Fälle in denen eine Betreuung pflegefachlich erforderlich ist und nicht anderweitig sichergestellt werden kann.</w:t>
      </w:r>
    </w:p>
    <w:p w:rsidR="00DE0FCA" w:rsidRDefault="00DE0FCA">
      <w:pPr>
        <w:spacing w:after="0" w:line="240" w:lineRule="auto"/>
        <w:jc w:val="both"/>
        <w:rPr>
          <w:rFonts w:eastAsia="Times New Roman" w:cs="Times New Roman"/>
          <w:sz w:val="22"/>
          <w:szCs w:val="22"/>
          <w:lang w:eastAsia="de-DE"/>
        </w:rPr>
      </w:pPr>
    </w:p>
    <w:p w:rsidR="00DE0FCA" w:rsidRDefault="00DE0FCA">
      <w:pPr>
        <w:spacing w:after="0" w:line="240" w:lineRule="auto"/>
        <w:jc w:val="both"/>
        <w:rPr>
          <w:rFonts w:eastAsia="Times New Roman" w:cs="Times New Roman"/>
          <w:sz w:val="22"/>
          <w:szCs w:val="22"/>
          <w:lang w:eastAsia="de-DE"/>
        </w:rPr>
      </w:pPr>
    </w:p>
    <w:p w:rsidR="00DE0FCA" w:rsidRDefault="00E8146F">
      <w:pPr>
        <w:pStyle w:val="Listenabsatz"/>
        <w:ind w:left="0"/>
        <w:jc w:val="center"/>
        <w:rPr>
          <w:sz w:val="22"/>
          <w:szCs w:val="22"/>
        </w:rPr>
      </w:pPr>
      <w:r>
        <w:rPr>
          <w:sz w:val="22"/>
          <w:szCs w:val="22"/>
        </w:rPr>
        <w:t xml:space="preserve">§ 7a </w:t>
      </w:r>
    </w:p>
    <w:p w:rsidR="00DE0FCA" w:rsidRDefault="00E8146F">
      <w:pPr>
        <w:pStyle w:val="Listenabsatz"/>
        <w:ind w:left="0"/>
        <w:jc w:val="center"/>
        <w:rPr>
          <w:sz w:val="22"/>
          <w:szCs w:val="22"/>
        </w:rPr>
      </w:pPr>
      <w:r>
        <w:rPr>
          <w:sz w:val="22"/>
          <w:szCs w:val="22"/>
        </w:rPr>
        <w:t>Bestimmungen für Leistungen der Eingliederungshilfe und für Leistungen nach dem 8. Kapitel des SGB XII</w:t>
      </w:r>
    </w:p>
    <w:p w:rsidR="00DE0FCA" w:rsidRDefault="00DE0FCA">
      <w:pPr>
        <w:pStyle w:val="Listenabsatz"/>
        <w:jc w:val="center"/>
        <w:rPr>
          <w:sz w:val="22"/>
          <w:szCs w:val="22"/>
        </w:rPr>
      </w:pPr>
    </w:p>
    <w:p w:rsidR="00DE0FCA" w:rsidRDefault="00E8146F">
      <w:pPr>
        <w:pStyle w:val="Listenabsatz"/>
        <w:numPr>
          <w:ilvl w:val="0"/>
          <w:numId w:val="3"/>
        </w:numPr>
        <w:spacing w:line="256" w:lineRule="auto"/>
        <w:ind w:left="0" w:firstLine="0"/>
        <w:jc w:val="both"/>
        <w:rPr>
          <w:sz w:val="22"/>
          <w:szCs w:val="22"/>
        </w:rPr>
      </w:pPr>
      <w:r>
        <w:rPr>
          <w:sz w:val="22"/>
          <w:szCs w:val="22"/>
        </w:rPr>
        <w:t>Werkstätten für Menschen mit Behinderungen und Tagesförderstätten für Menschen mit Behinderungen (dies umfasst die Leistungstypen BFBTS, TSHIV und TBTSB) und Angebote anderer Leistungsanbieter nach § 60 des Neunten Buchs Sozialgesetzbuch vom 23. Dezember 2016 (BGBl. I S. 3234), das zuletzt durch Artikel 8 des Gesetzes vom 14. Dezember 2019 (BGBl. I S. 2789) geändert worden ist, dürfen nicht geöffnet werden, soweit es sich nicht um eine Notbetreuung von Menschen mit Behinderungen handelt,</w:t>
      </w:r>
    </w:p>
    <w:p w:rsidR="00DE0FCA" w:rsidRDefault="00DE0FCA">
      <w:pPr>
        <w:pStyle w:val="Listenabsatz"/>
        <w:ind w:left="1116"/>
        <w:jc w:val="both"/>
        <w:rPr>
          <w:sz w:val="22"/>
          <w:szCs w:val="22"/>
        </w:rPr>
      </w:pPr>
    </w:p>
    <w:p w:rsidR="00DE0FCA" w:rsidRDefault="00E8146F">
      <w:pPr>
        <w:pStyle w:val="Listenabsatz"/>
        <w:ind w:left="851" w:hanging="284"/>
        <w:jc w:val="both"/>
        <w:rPr>
          <w:sz w:val="22"/>
          <w:szCs w:val="22"/>
        </w:rPr>
      </w:pPr>
      <w:r>
        <w:rPr>
          <w:sz w:val="22"/>
          <w:szCs w:val="22"/>
        </w:rPr>
        <w:t>1.</w:t>
      </w:r>
      <w:r>
        <w:rPr>
          <w:sz w:val="22"/>
          <w:szCs w:val="22"/>
        </w:rPr>
        <w:tab/>
        <w:t xml:space="preserve">für die es keine andere Betreuungsmöglichkeit gibt (z.B. durch Angehörige, in ambulanten oder besonderen Wohnformen), </w:t>
      </w:r>
    </w:p>
    <w:p w:rsidR="00DE0FCA" w:rsidRDefault="00E8146F">
      <w:pPr>
        <w:pStyle w:val="Listenabsatz"/>
        <w:ind w:left="851" w:hanging="284"/>
        <w:jc w:val="both"/>
        <w:rPr>
          <w:sz w:val="22"/>
          <w:szCs w:val="22"/>
        </w:rPr>
      </w:pPr>
      <w:r>
        <w:rPr>
          <w:sz w:val="22"/>
          <w:szCs w:val="22"/>
        </w:rPr>
        <w:t>2.</w:t>
      </w:r>
      <w:r>
        <w:rPr>
          <w:sz w:val="22"/>
          <w:szCs w:val="22"/>
        </w:rPr>
        <w:tab/>
        <w:t>deren Angehörige eine berufliche Tätigkeit ausüben, die für die Aufrechterhaltung des öffentlichen Lebens insbesondere im Bereich der Gesundheit, Pflege, der öffentlichen Sicherheit und Versorgung erforderlich ist oder</w:t>
      </w:r>
    </w:p>
    <w:p w:rsidR="00DE0FCA" w:rsidRDefault="00E8146F">
      <w:pPr>
        <w:pStyle w:val="Listenabsatz"/>
        <w:ind w:left="851" w:hanging="284"/>
        <w:jc w:val="both"/>
        <w:rPr>
          <w:sz w:val="22"/>
          <w:szCs w:val="22"/>
        </w:rPr>
      </w:pPr>
      <w:r>
        <w:rPr>
          <w:sz w:val="22"/>
          <w:szCs w:val="22"/>
        </w:rPr>
        <w:t>3.</w:t>
      </w:r>
      <w:r>
        <w:rPr>
          <w:sz w:val="22"/>
          <w:szCs w:val="22"/>
        </w:rPr>
        <w:tab/>
        <w:t>für die im Einzelfall die Betreuung für die Stabilisierung des Gesundheitszustandes dringend erforderlich ist.</w:t>
      </w:r>
    </w:p>
    <w:p w:rsidR="00DE0FCA" w:rsidRDefault="00DE0FCA">
      <w:pPr>
        <w:pStyle w:val="Listenabsatz"/>
        <w:jc w:val="both"/>
        <w:rPr>
          <w:sz w:val="22"/>
          <w:szCs w:val="22"/>
        </w:rPr>
      </w:pPr>
    </w:p>
    <w:p w:rsidR="00DE0FCA" w:rsidRDefault="00E8146F">
      <w:pPr>
        <w:pStyle w:val="Listenabsatz"/>
        <w:ind w:left="0"/>
        <w:jc w:val="both"/>
        <w:rPr>
          <w:sz w:val="22"/>
          <w:szCs w:val="22"/>
        </w:rPr>
      </w:pPr>
      <w:r>
        <w:rPr>
          <w:sz w:val="22"/>
          <w:szCs w:val="22"/>
        </w:rPr>
        <w:t>Von Satz 1 erster Halbsatz ausgenommen sind Werkstätten für Menschen mit Behinderungen, die im Zusammenhang mit medizinischen und/oder pflegerelevanten Produkten Leistungen oder Unterstützungsarbeiten erbringen oder durchführen; hierzu zählen auch Wäschereien. Ebenso von Satz 1 ausgenommen sind solche Betriebsbereiche von Werkstätten für Menschen mit Behinderungen, die der Versorgung mit Speisen in medizinischen und/oder pflegerelevanten Einrichtungen dienen. Die Träger, die die Notbetreuung nach Satz 1 durchführen und die Träger der Werkstätten für Menschen mit Behinderungen, die von Satz 1 ausgenommen sind, haben in allen Fällen durch geeignete Maßnahmen sicherzustellen, dass Abstands- und Hygieneregeln eingehalten und Nahkontakte so weit wie möglich verhindert werden.</w:t>
      </w:r>
    </w:p>
    <w:p w:rsidR="00DE0FCA" w:rsidRDefault="00DE0FCA">
      <w:pPr>
        <w:pStyle w:val="Listenabsatz"/>
        <w:jc w:val="both"/>
        <w:rPr>
          <w:sz w:val="22"/>
          <w:szCs w:val="22"/>
        </w:rPr>
      </w:pPr>
    </w:p>
    <w:p w:rsidR="00DE0FCA" w:rsidRDefault="00E8146F">
      <w:pPr>
        <w:pStyle w:val="Listenabsatz"/>
        <w:ind w:left="0"/>
        <w:jc w:val="both"/>
        <w:rPr>
          <w:sz w:val="22"/>
          <w:szCs w:val="22"/>
        </w:rPr>
      </w:pPr>
      <w:r>
        <w:rPr>
          <w:sz w:val="22"/>
          <w:szCs w:val="22"/>
        </w:rPr>
        <w:t>(2) Leistungserbringer mit Vereinbarungen nach § 123 Neuntes Buch Sozialgesetzbuch oder § 75 Zwölftes Buch Sozialgesetzbuch – Sozialhilfe – (Artikel 1 des Gesetzes vom 27. Dezember 2003, BGBl. I S. 3022, 3023), das zuletzt durch Artikel 11 des Gesetzes vom 14. Dezember 2019 (BGBl. I S. 2789) geändert worden ist, sind zur Abwendung von Gefahren für Mitarbeitende und Leistungsberechtigte befugt, das Personal abweichend von den Leistungsvereinbarungen einzusetzen. Die Grundversorgung der Leistungsberechtigten ist sicherzustellen. Durch eine erhebliche Reduzierung des Betreuungsumfangs in einzelnen Leistungsangeboten freiwerdendes Personal ist von den Leistungserbringern in anderen Angeboten zum Einsatz zu bringen, um dort die Versorgung sicherzustellen.</w:t>
      </w:r>
    </w:p>
    <w:p w:rsidR="00DE0FCA" w:rsidRDefault="00DE0FCA">
      <w:pPr>
        <w:spacing w:after="0" w:line="240" w:lineRule="auto"/>
        <w:jc w:val="both"/>
        <w:rPr>
          <w:rFonts w:eastAsia="Times New Roman" w:cs="Times New Roman"/>
          <w:sz w:val="22"/>
          <w:szCs w:val="22"/>
          <w:lang w:eastAsia="de-DE"/>
        </w:rPr>
      </w:pP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3. Teil</w:t>
      </w:r>
    </w:p>
    <w:p w:rsidR="00DE0FCA" w:rsidRDefault="00E8146F">
      <w:pPr>
        <w:spacing w:after="0" w:line="240" w:lineRule="auto"/>
        <w:jc w:val="center"/>
        <w:rPr>
          <w:rFonts w:eastAsia="Times New Roman" w:cs="Times New Roman"/>
          <w:sz w:val="22"/>
          <w:szCs w:val="22"/>
          <w:lang w:eastAsia="de-DE"/>
        </w:rPr>
      </w:pPr>
      <w:r>
        <w:rPr>
          <w:rFonts w:eastAsia="Times New Roman"/>
          <w:sz w:val="22"/>
          <w:szCs w:val="22"/>
          <w:lang w:eastAsia="de-DE"/>
        </w:rPr>
        <w:t>Bestimmungen für Schulen und Bildungseinrichtungen nach dem Schulgesetz und für Tageseinrichtungen und Angebote der Kindertagespflege nach dem Kindertagesförderungsgesetz</w:t>
      </w:r>
    </w:p>
    <w:p w:rsidR="00DE0FCA" w:rsidRDefault="00DE0FCA">
      <w:pPr>
        <w:spacing w:after="0" w:line="240" w:lineRule="auto"/>
        <w:jc w:val="center"/>
        <w:rPr>
          <w:rFonts w:eastAsia="Times New Roman" w:cs="Times New Roman"/>
          <w:sz w:val="22"/>
          <w:szCs w:val="22"/>
          <w:lang w:eastAsia="de-DE"/>
        </w:rPr>
      </w:pP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 8</w:t>
      </w: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Schulen und Bildungseinrichtungen nach dem Schulgesetz, Tageseinrichtungen und Angebote der Kindertagespflege nach dem Kindertagesförderungsgesetz</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 xml:space="preserve">(1) Öffentliche Schulen und Schulen in freier Trägerschaft einschließlich der Einrichtungen des Zweiten Bildungsweges und der Angebote der ergänzenden Förderung und Betreuung, Volkshochschulen, Musikschulen, Jugendkunstschulen, Jugendverkehrsschulen, Gartenarbeitsschulen sowie freie Einrichtungen im Sinne des Schulgesetzes vom 26. Januar 2004 (GVBl. S. 26), das zuletzt durch Artikel 1 des Gesetzes vom 09. April 2019 (GVBl. S. 255) geändert worden ist, sowie Tageseinrichtungen </w:t>
      </w:r>
      <w:r>
        <w:rPr>
          <w:rFonts w:eastAsia="Times New Roman"/>
          <w:sz w:val="22"/>
          <w:szCs w:val="22"/>
          <w:lang w:eastAsia="de-DE"/>
        </w:rPr>
        <w:t>und Angebote der Kindertagespflege</w:t>
      </w:r>
      <w:r>
        <w:rPr>
          <w:rFonts w:eastAsia="Times New Roman" w:cs="Times New Roman"/>
          <w:sz w:val="22"/>
          <w:szCs w:val="22"/>
          <w:lang w:eastAsia="de-DE"/>
        </w:rPr>
        <w:t xml:space="preserve"> im Sinne des Kindertagesförderungsgesetzes vom 23. Juni 2005 (GVBl. S. 322), das zuletzt durch Artikel 1 des Gesetzes vom 19.12.2017 (GVBl. S. 702) geändert worden ist, dürfen vorbehaltlich der Absätze 2 und 3 nicht für den Lehr- bzw. Betreuungsbetrieb geöffnet werden.</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(2) Prüfungen dürfen durchgeführt werden, sofern hierbei ein Abstand zwischen den Teilnehmenden von mindestens 1,5 Metern gewährleistet ist.</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(3) Einrichtungen der in Absatz 1 bezeichneten Art können einen eingeschränkten Betrieb für</w:t>
      </w: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eine Notbetreuung von Kindern von Eltern anbieten, deren berufliche Tätigkeit für die Aufrechterhaltung des öffentlichen Lebens insbesondere im Bereich der Gesundheit, Pflege, der öffentlichen Sicherheit und Versorgung erforderlich ist. Über die Auswahl der Einrichtungen, mit Ausnahme der Tageseinrichtungen und Angebote der Kindertagespflege nach dem Kindertagesförderungsgesetz, entscheidet die für das Schulwesen zuständige Senatsverwaltung. Eine Notbetreuung in den Tageseinrichtungen und Angeboten der Kindertagespflege soll grundsätzlich in allen Tageseinrichtungen und Kindertagespflegestellen angeboten werden; näheres hierzu regelt die für Jugend und Familie zuständige Senatsverwaltung.</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 9</w:t>
      </w: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Gesundheits- und Pflegefachschulen und sonstige Einrichtungen der Berufsausbildung</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(1) Gesundheits- und Pflegefachschulen sowie sonstige Einrichtungen der Berufsausbildung dürfen nicht für den Lehrbetrieb geöffnet werden.</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(2) § 8 Absatz 2 gilt entsprechend.</w:t>
      </w:r>
    </w:p>
    <w:p w:rsidR="00DE0FCA" w:rsidRDefault="00DE0FCA">
      <w:pPr>
        <w:spacing w:after="0" w:line="240" w:lineRule="auto"/>
        <w:jc w:val="both"/>
        <w:rPr>
          <w:rFonts w:eastAsia="Times New Roman" w:cs="Times New Roman"/>
          <w:sz w:val="22"/>
          <w:szCs w:val="22"/>
          <w:lang w:eastAsia="de-DE"/>
        </w:rPr>
      </w:pP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4. Teil</w:t>
      </w: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Bestimmungen für Einrichtungen im Bereich Wissenschaft und Forschung</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 10</w:t>
      </w: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Hochschulen</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Staatliche, private und konfessionelle Hochschulen einschließlich ihrer Einrichtungen dürfen nicht für den Präsenzlehrbetrieb und nicht für den Publikumsverkehr geöffnet werden.</w:t>
      </w:r>
    </w:p>
    <w:p w:rsidR="00DE0FCA" w:rsidRDefault="00DE0FCA">
      <w:pPr>
        <w:spacing w:after="0" w:line="240" w:lineRule="auto"/>
        <w:jc w:val="center"/>
        <w:rPr>
          <w:rFonts w:eastAsia="Times New Roman" w:cs="Times New Roman"/>
          <w:sz w:val="22"/>
          <w:szCs w:val="22"/>
          <w:lang w:eastAsia="de-DE"/>
        </w:rPr>
      </w:pPr>
    </w:p>
    <w:p w:rsidR="00DE0FCA" w:rsidRDefault="00DE0FCA">
      <w:pPr>
        <w:spacing w:after="0" w:line="240" w:lineRule="auto"/>
        <w:jc w:val="center"/>
        <w:rPr>
          <w:rFonts w:eastAsia="Times New Roman" w:cs="Times New Roman"/>
          <w:sz w:val="22"/>
          <w:szCs w:val="22"/>
          <w:lang w:eastAsia="de-DE"/>
        </w:rPr>
      </w:pP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 11</w:t>
      </w: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Bibliotheken</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Bibliotheken dürfen nicht für den Publikumsverkehr geöffnet werden. Onlinedienste können angeboten werden.</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 12</w:t>
      </w: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Mensen</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Mensen des Studierendenwerkes dürfen nicht geöffnet werden.</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 13</w:t>
      </w: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 xml:space="preserve">Außeruniversitäre Forschungseinrichtungen </w:t>
      </w:r>
    </w:p>
    <w:p w:rsidR="00DE0FCA" w:rsidRDefault="00DE0FCA">
      <w:pPr>
        <w:spacing w:after="0" w:line="240" w:lineRule="auto"/>
        <w:jc w:val="center"/>
        <w:rPr>
          <w:rFonts w:eastAsia="Times New Roman" w:cs="Times New Roman"/>
          <w:sz w:val="22"/>
          <w:szCs w:val="22"/>
          <w:lang w:eastAsia="de-DE"/>
        </w:rPr>
      </w:pP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Die Regelungen der §§ 10 und 11 gelten entsprechend auch für die außeruniversitären Forschungseinrichtungen im Land Berlin, ungeachtet ihrer Rechtsform.</w:t>
      </w:r>
    </w:p>
    <w:p w:rsidR="00DE0FCA" w:rsidRDefault="00DE0FCA">
      <w:pPr>
        <w:spacing w:after="0" w:line="240" w:lineRule="auto"/>
        <w:jc w:val="center"/>
        <w:rPr>
          <w:rFonts w:eastAsia="Times New Roman" w:cs="Times New Roman"/>
          <w:sz w:val="22"/>
          <w:szCs w:val="22"/>
          <w:lang w:eastAsia="de-DE"/>
        </w:rPr>
      </w:pPr>
    </w:p>
    <w:p w:rsidR="00DE0FCA" w:rsidRDefault="00E8146F">
      <w:pPr>
        <w:spacing w:after="0" w:line="240" w:lineRule="auto"/>
        <w:jc w:val="center"/>
        <w:rPr>
          <w:sz w:val="22"/>
          <w:szCs w:val="22"/>
        </w:rPr>
      </w:pPr>
      <w:r>
        <w:rPr>
          <w:sz w:val="22"/>
          <w:szCs w:val="22"/>
        </w:rPr>
        <w:t>5. Teil</w:t>
      </w:r>
    </w:p>
    <w:p w:rsidR="00DE0FCA" w:rsidRDefault="00E8146F">
      <w:pPr>
        <w:spacing w:after="0" w:line="240" w:lineRule="auto"/>
        <w:jc w:val="center"/>
        <w:rPr>
          <w:sz w:val="22"/>
          <w:szCs w:val="22"/>
        </w:rPr>
      </w:pPr>
      <w:r>
        <w:rPr>
          <w:sz w:val="22"/>
          <w:szCs w:val="22"/>
        </w:rPr>
        <w:t xml:space="preserve">Vorübergehende Kontaktbeschränkungen </w:t>
      </w:r>
    </w:p>
    <w:p w:rsidR="00DE0FCA" w:rsidRDefault="00DE0FCA">
      <w:pPr>
        <w:spacing w:after="0" w:line="240" w:lineRule="auto"/>
        <w:jc w:val="center"/>
        <w:rPr>
          <w:sz w:val="22"/>
          <w:szCs w:val="22"/>
        </w:rPr>
      </w:pPr>
    </w:p>
    <w:p w:rsidR="00DE0FCA" w:rsidRDefault="00E8146F">
      <w:pPr>
        <w:spacing w:after="0" w:line="240" w:lineRule="auto"/>
        <w:jc w:val="center"/>
        <w:rPr>
          <w:sz w:val="22"/>
          <w:szCs w:val="22"/>
        </w:rPr>
      </w:pPr>
      <w:r>
        <w:rPr>
          <w:sz w:val="22"/>
          <w:szCs w:val="22"/>
        </w:rPr>
        <w:t>§ 14</w:t>
      </w:r>
    </w:p>
    <w:p w:rsidR="00DE0FCA" w:rsidRDefault="00E8146F">
      <w:pPr>
        <w:spacing w:after="0" w:line="240" w:lineRule="auto"/>
        <w:jc w:val="center"/>
        <w:rPr>
          <w:sz w:val="22"/>
          <w:szCs w:val="22"/>
        </w:rPr>
      </w:pPr>
      <w:r>
        <w:rPr>
          <w:sz w:val="22"/>
          <w:szCs w:val="22"/>
        </w:rPr>
        <w:t>Kontaktbeschränkungen im Stadtgebiet von Berlin</w:t>
      </w:r>
    </w:p>
    <w:p w:rsidR="00DE0FCA" w:rsidRDefault="00DE0FCA">
      <w:pPr>
        <w:spacing w:after="0" w:line="240" w:lineRule="auto"/>
        <w:jc w:val="center"/>
        <w:rPr>
          <w:sz w:val="22"/>
          <w:szCs w:val="22"/>
        </w:rPr>
      </w:pPr>
    </w:p>
    <w:p w:rsidR="00DE0FCA" w:rsidRDefault="00E8146F">
      <w:pPr>
        <w:spacing w:after="0" w:line="240" w:lineRule="auto"/>
        <w:jc w:val="both"/>
        <w:rPr>
          <w:sz w:val="22"/>
          <w:szCs w:val="22"/>
        </w:rPr>
      </w:pPr>
      <w:r>
        <w:rPr>
          <w:sz w:val="22"/>
          <w:szCs w:val="22"/>
        </w:rPr>
        <w:t>(1) Im Stadtgebiet von Berlin gemäß Artikel 4 Absatz 1 der Verfassung von Berlin vom 23. November 1995 (GVBl. S. 779), die zuletzt durch Gesetz vom 22. März 2016 (GVBl. S. 114) geändert worden ist, befindliche Personen haben sich, vorbehaltlich anderweitiger Regelungen dieser Verordnung, ständig in ihrer Wohnung oder gewöhnlichen Unterkunft aufzuhalten.  Dies gilt auch für wohnungslose Menschen, soweit sie kommunal oder ordnungsrechtlich untergebracht sind.</w:t>
      </w:r>
    </w:p>
    <w:p w:rsidR="00DE0FCA" w:rsidRDefault="00DE0FCA">
      <w:pPr>
        <w:spacing w:after="0" w:line="240" w:lineRule="auto"/>
        <w:jc w:val="both"/>
        <w:rPr>
          <w:sz w:val="22"/>
          <w:szCs w:val="22"/>
        </w:rPr>
      </w:pPr>
    </w:p>
    <w:p w:rsidR="00DE0FCA" w:rsidRDefault="00E8146F">
      <w:pPr>
        <w:spacing w:after="0" w:line="240" w:lineRule="auto"/>
        <w:jc w:val="both"/>
        <w:rPr>
          <w:sz w:val="22"/>
          <w:szCs w:val="22"/>
        </w:rPr>
      </w:pPr>
      <w:r>
        <w:rPr>
          <w:sz w:val="22"/>
          <w:szCs w:val="22"/>
        </w:rPr>
        <w:t>(2) Das Vorliegen von Gründen, die das Verlassen der Wohnung oder gewöhnlichen Unterkunft nach den Bestimmungen dieser Verordnung erlauben, ist gegenüber der Polizei und den zuständigen Ordnungsbehörden glaubhaft zu machen. Bei jeglichem Aufenthalt außerhalb der Wohnung oder gewöhnlichen Unterkunft ist – soweit möglich – ein Mindestabstand von 1,5 Metern zu anderen Personen einzuhalten.</w:t>
      </w:r>
    </w:p>
    <w:p w:rsidR="00DE0FCA" w:rsidRDefault="00DE0FCA">
      <w:pPr>
        <w:spacing w:after="0" w:line="240" w:lineRule="auto"/>
        <w:jc w:val="both"/>
        <w:rPr>
          <w:sz w:val="22"/>
          <w:szCs w:val="22"/>
        </w:rPr>
      </w:pPr>
    </w:p>
    <w:p w:rsidR="00DE0FCA" w:rsidRDefault="00E8146F">
      <w:pPr>
        <w:spacing w:after="0" w:line="240" w:lineRule="auto"/>
        <w:jc w:val="both"/>
        <w:rPr>
          <w:sz w:val="22"/>
          <w:szCs w:val="22"/>
        </w:rPr>
      </w:pPr>
      <w:r>
        <w:rPr>
          <w:sz w:val="22"/>
          <w:szCs w:val="22"/>
        </w:rPr>
        <w:t xml:space="preserve">(3) Gründe im Sinne des Absatzes 2 sind insbesondere: </w:t>
      </w:r>
    </w:p>
    <w:p w:rsidR="00DE0FCA" w:rsidRDefault="00E8146F">
      <w:pPr>
        <w:spacing w:after="0" w:line="240" w:lineRule="auto"/>
        <w:rPr>
          <w:sz w:val="22"/>
          <w:szCs w:val="22"/>
        </w:rPr>
      </w:pPr>
      <w:r>
        <w:rPr>
          <w:sz w:val="22"/>
          <w:szCs w:val="22"/>
        </w:rPr>
        <w:t xml:space="preserve"> </w:t>
      </w:r>
    </w:p>
    <w:p w:rsidR="00DE0FCA" w:rsidRDefault="00E8146F">
      <w:pPr>
        <w:numPr>
          <w:ilvl w:val="1"/>
          <w:numId w:val="2"/>
        </w:numPr>
        <w:spacing w:after="0" w:line="240" w:lineRule="auto"/>
        <w:ind w:hanging="425"/>
        <w:jc w:val="both"/>
        <w:rPr>
          <w:sz w:val="22"/>
          <w:szCs w:val="22"/>
        </w:rPr>
      </w:pPr>
      <w:r>
        <w:rPr>
          <w:sz w:val="22"/>
          <w:szCs w:val="22"/>
        </w:rPr>
        <w:t xml:space="preserve">die Ausübung beruflicher, mandatsbezogener oder ehrenamtlicher Tätigkeiten, auch an wechselnden Einsatzstellen,  </w:t>
      </w:r>
    </w:p>
    <w:p w:rsidR="00DE0FCA" w:rsidRDefault="00E8146F">
      <w:pPr>
        <w:numPr>
          <w:ilvl w:val="1"/>
          <w:numId w:val="2"/>
        </w:numPr>
        <w:spacing w:after="0" w:line="240" w:lineRule="auto"/>
        <w:ind w:hanging="425"/>
        <w:jc w:val="both"/>
        <w:rPr>
          <w:sz w:val="22"/>
          <w:szCs w:val="22"/>
        </w:rPr>
      </w:pPr>
      <w:r>
        <w:rPr>
          <w:sz w:val="22"/>
          <w:szCs w:val="22"/>
        </w:rPr>
        <w:t xml:space="preserve">die Inanspruchnahme medizinischer und veterinärmedizinischer Versorgungsleistungen (z. B. Arztbesuch, medizinische Behandlungen; Blutspenden) sowie der Besuch bei Angehörigen helfender Berufe, soweit dies medizinisch dringend erforderlich ist (z. B. Psycho- und Physiotherapeuten), </w:t>
      </w:r>
    </w:p>
    <w:p w:rsidR="00DE0FCA" w:rsidRDefault="00E8146F">
      <w:pPr>
        <w:numPr>
          <w:ilvl w:val="1"/>
          <w:numId w:val="2"/>
        </w:numPr>
        <w:spacing w:after="0" w:line="240" w:lineRule="auto"/>
        <w:ind w:hanging="425"/>
        <w:jc w:val="both"/>
        <w:rPr>
          <w:sz w:val="22"/>
          <w:szCs w:val="22"/>
        </w:rPr>
      </w:pPr>
      <w:r>
        <w:rPr>
          <w:sz w:val="22"/>
          <w:szCs w:val="22"/>
        </w:rPr>
        <w:t xml:space="preserve">Besorgungen des persönlichen Bedarfs in Verkaufsstellen und Inanspruchnahme von Dienstleistungen mit Ausnahme der nach </w:t>
      </w:r>
      <w:r>
        <w:rPr>
          <w:rFonts w:eastAsia="Times New Roman"/>
          <w:sz w:val="22"/>
          <w:szCs w:val="22"/>
        </w:rPr>
        <w:t>§ 2 Abs. 5, §§</w:t>
      </w:r>
      <w:r>
        <w:rPr>
          <w:sz w:val="22"/>
          <w:szCs w:val="22"/>
        </w:rPr>
        <w:t> 3 ff. untersagt sind,</w:t>
      </w:r>
    </w:p>
    <w:p w:rsidR="00DE0FCA" w:rsidRDefault="00E8146F">
      <w:pPr>
        <w:numPr>
          <w:ilvl w:val="1"/>
          <w:numId w:val="2"/>
        </w:numPr>
        <w:spacing w:after="0" w:line="240" w:lineRule="auto"/>
        <w:ind w:hanging="425"/>
        <w:jc w:val="both"/>
        <w:rPr>
          <w:sz w:val="22"/>
          <w:szCs w:val="22"/>
        </w:rPr>
      </w:pPr>
      <w:r>
        <w:rPr>
          <w:sz w:val="22"/>
          <w:szCs w:val="22"/>
        </w:rPr>
        <w:t xml:space="preserve">der Besuch bei </w:t>
      </w:r>
      <w:r>
        <w:rPr>
          <w:rFonts w:eastAsia="Times New Roman"/>
          <w:sz w:val="22"/>
          <w:szCs w:val="22"/>
        </w:rPr>
        <w:t xml:space="preserve">Ehepartnerinnen und Ehepartnern oder </w:t>
      </w:r>
      <w:r>
        <w:rPr>
          <w:sz w:val="22"/>
          <w:szCs w:val="22"/>
        </w:rPr>
        <w:t xml:space="preserve">Lebenspartnerinnen und Lebenspartnern und die Wahrnehmung des Sorgerechts oder Umgangsrechts im jeweiligen privaten Bereich,  </w:t>
      </w:r>
    </w:p>
    <w:p w:rsidR="00DE0FCA" w:rsidRDefault="00E8146F">
      <w:pPr>
        <w:numPr>
          <w:ilvl w:val="1"/>
          <w:numId w:val="2"/>
        </w:numPr>
        <w:spacing w:after="0" w:line="240" w:lineRule="auto"/>
        <w:ind w:hanging="425"/>
        <w:jc w:val="both"/>
        <w:rPr>
          <w:sz w:val="22"/>
          <w:szCs w:val="22"/>
        </w:rPr>
      </w:pPr>
      <w:r>
        <w:rPr>
          <w:sz w:val="22"/>
          <w:szCs w:val="22"/>
        </w:rPr>
        <w:t>der Besuch bei alten oder kranken Menschen oder bei Menschen mit Einschränkungen außerhalb von Einrichtungen; innerhalb von Einrichtungen nur nach Maßgabe von § 6,</w:t>
      </w:r>
    </w:p>
    <w:p w:rsidR="00DE0FCA" w:rsidRDefault="00E8146F">
      <w:pPr>
        <w:numPr>
          <w:ilvl w:val="1"/>
          <w:numId w:val="2"/>
        </w:numPr>
        <w:spacing w:after="0" w:line="240" w:lineRule="auto"/>
        <w:ind w:hanging="425"/>
        <w:jc w:val="both"/>
        <w:rPr>
          <w:sz w:val="22"/>
          <w:szCs w:val="22"/>
        </w:rPr>
      </w:pPr>
      <w:r>
        <w:rPr>
          <w:sz w:val="22"/>
          <w:szCs w:val="22"/>
        </w:rPr>
        <w:t xml:space="preserve">die Begleitung von unterstützungsbedürftigen Personen und Minderjährigen,  </w:t>
      </w:r>
    </w:p>
    <w:p w:rsidR="00DE0FCA" w:rsidRDefault="00E8146F">
      <w:pPr>
        <w:numPr>
          <w:ilvl w:val="1"/>
          <w:numId w:val="2"/>
        </w:numPr>
        <w:spacing w:after="0" w:line="240" w:lineRule="auto"/>
        <w:ind w:hanging="425"/>
        <w:jc w:val="both"/>
        <w:rPr>
          <w:sz w:val="22"/>
          <w:szCs w:val="22"/>
        </w:rPr>
      </w:pPr>
      <w:r>
        <w:rPr>
          <w:sz w:val="22"/>
          <w:szCs w:val="22"/>
        </w:rPr>
        <w:t xml:space="preserve">die Begleitung Sterbender sowie Beerdigungen im engsten Familien- oder Freundeskreis,  </w:t>
      </w:r>
    </w:p>
    <w:p w:rsidR="00DE0FCA" w:rsidRDefault="00E8146F">
      <w:pPr>
        <w:numPr>
          <w:ilvl w:val="1"/>
          <w:numId w:val="2"/>
        </w:numPr>
        <w:spacing w:after="0" w:line="240" w:lineRule="auto"/>
        <w:ind w:hanging="425"/>
        <w:jc w:val="both"/>
        <w:rPr>
          <w:sz w:val="22"/>
          <w:szCs w:val="22"/>
        </w:rPr>
      </w:pPr>
      <w:r>
        <w:rPr>
          <w:sz w:val="22"/>
          <w:szCs w:val="22"/>
        </w:rPr>
        <w:t>das Verlassen und Wiederbetreten des Stadtgebiets von Berlin, sofern es auf direktem Weg von beziehungsweise zu der Wohnung oder gewöhnlichen Unterkunft erfolgt,</w:t>
      </w:r>
    </w:p>
    <w:p w:rsidR="00DE0FCA" w:rsidRDefault="00E8146F">
      <w:pPr>
        <w:numPr>
          <w:ilvl w:val="1"/>
          <w:numId w:val="2"/>
        </w:numPr>
        <w:spacing w:after="0" w:line="240" w:lineRule="auto"/>
        <w:ind w:hanging="425"/>
        <w:jc w:val="both"/>
        <w:rPr>
          <w:sz w:val="22"/>
          <w:szCs w:val="22"/>
        </w:rPr>
      </w:pPr>
      <w:r>
        <w:rPr>
          <w:sz w:val="22"/>
          <w:szCs w:val="22"/>
        </w:rPr>
        <w:t>Sport und Bewegung an der frischen Luft, alleine, mit Angehörigen des eigenen Haushalts oder mit einer anderen Person, ohne jede sonstige Gruppenbildung,</w:t>
      </w:r>
    </w:p>
    <w:p w:rsidR="00DE0FCA" w:rsidRDefault="00E8146F">
      <w:pPr>
        <w:numPr>
          <w:ilvl w:val="1"/>
          <w:numId w:val="2"/>
        </w:numPr>
        <w:spacing w:after="0" w:line="240" w:lineRule="auto"/>
        <w:ind w:hanging="425"/>
        <w:jc w:val="both"/>
        <w:rPr>
          <w:sz w:val="22"/>
          <w:szCs w:val="22"/>
        </w:rPr>
      </w:pPr>
      <w:r>
        <w:rPr>
          <w:sz w:val="22"/>
          <w:szCs w:val="22"/>
        </w:rPr>
        <w:t>Handlungen zur Versorgung und Betreuung von Tieren,</w:t>
      </w:r>
    </w:p>
    <w:p w:rsidR="00DE0FCA" w:rsidRDefault="00E8146F">
      <w:pPr>
        <w:numPr>
          <w:ilvl w:val="1"/>
          <w:numId w:val="2"/>
        </w:numPr>
        <w:spacing w:after="0" w:line="240" w:lineRule="auto"/>
        <w:ind w:hanging="425"/>
        <w:jc w:val="both"/>
        <w:rPr>
          <w:sz w:val="22"/>
          <w:szCs w:val="22"/>
        </w:rPr>
      </w:pPr>
      <w:r>
        <w:rPr>
          <w:sz w:val="22"/>
          <w:szCs w:val="22"/>
        </w:rPr>
        <w:t>die Bewirtschaftung von gärtnerischen oder landwirtschaftlichen Flächen,</w:t>
      </w:r>
    </w:p>
    <w:p w:rsidR="00DE0FCA" w:rsidRDefault="00E8146F">
      <w:pPr>
        <w:numPr>
          <w:ilvl w:val="1"/>
          <w:numId w:val="2"/>
        </w:numPr>
        <w:spacing w:after="0" w:line="240" w:lineRule="auto"/>
        <w:ind w:hanging="425"/>
        <w:jc w:val="both"/>
        <w:rPr>
          <w:sz w:val="22"/>
          <w:szCs w:val="22"/>
        </w:rPr>
      </w:pPr>
      <w:r>
        <w:rPr>
          <w:sz w:val="22"/>
          <w:szCs w:val="22"/>
        </w:rPr>
        <w:t>der Besuch von Veranstaltungen oder Versammlungen, die nach Maßgabe von § 1 erlaubt oder genehmigt sind,</w:t>
      </w:r>
    </w:p>
    <w:p w:rsidR="00DE0FCA" w:rsidRDefault="00E8146F">
      <w:pPr>
        <w:numPr>
          <w:ilvl w:val="1"/>
          <w:numId w:val="2"/>
        </w:numPr>
        <w:spacing w:after="0" w:line="240" w:lineRule="auto"/>
        <w:ind w:hanging="425"/>
        <w:jc w:val="both"/>
        <w:rPr>
          <w:sz w:val="22"/>
          <w:szCs w:val="22"/>
        </w:rPr>
      </w:pPr>
      <w:r>
        <w:rPr>
          <w:rFonts w:eastAsia="Times New Roman" w:cs="Times New Roman"/>
          <w:sz w:val="22"/>
          <w:szCs w:val="22"/>
          <w:lang w:eastAsia="de-DE"/>
        </w:rPr>
        <w:t>die Teilnahme an Prüfungen,</w:t>
      </w:r>
    </w:p>
    <w:p w:rsidR="00DE0FCA" w:rsidRDefault="00E8146F">
      <w:pPr>
        <w:numPr>
          <w:ilvl w:val="1"/>
          <w:numId w:val="2"/>
        </w:numPr>
        <w:spacing w:after="0" w:line="240" w:lineRule="auto"/>
        <w:ind w:hanging="425"/>
        <w:jc w:val="both"/>
        <w:rPr>
          <w:sz w:val="22"/>
          <w:szCs w:val="22"/>
        </w:rPr>
      </w:pPr>
      <w:r>
        <w:rPr>
          <w:sz w:val="22"/>
          <w:szCs w:val="22"/>
        </w:rPr>
        <w:t xml:space="preserve">die Wahrnehmung dringend erforderlicher Termine bei Behörden, Gerichten, Rechtsantragsstellen, Gerichtsvollzieherinnen und Gerichtsvollziehern, Rechtsanwältinnen und Rechtsanwälten und Notarinnen und Notaren, </w:t>
      </w:r>
    </w:p>
    <w:p w:rsidR="00DE0FCA" w:rsidRDefault="00E8146F">
      <w:pPr>
        <w:numPr>
          <w:ilvl w:val="1"/>
          <w:numId w:val="2"/>
        </w:numPr>
        <w:spacing w:after="0" w:line="240" w:lineRule="auto"/>
        <w:ind w:hanging="425"/>
        <w:jc w:val="both"/>
        <w:rPr>
          <w:sz w:val="22"/>
          <w:szCs w:val="22"/>
        </w:rPr>
      </w:pPr>
      <w:r>
        <w:rPr>
          <w:sz w:val="22"/>
          <w:szCs w:val="22"/>
        </w:rPr>
        <w:t>die Befolgung behördlicher, staatsanwaltschaftlicher oder polizeilicher Vorladungen,</w:t>
      </w:r>
    </w:p>
    <w:p w:rsidR="00DE0FCA" w:rsidRDefault="00E8146F">
      <w:pPr>
        <w:numPr>
          <w:ilvl w:val="1"/>
          <w:numId w:val="2"/>
        </w:numPr>
        <w:spacing w:after="0" w:line="240" w:lineRule="auto"/>
        <w:ind w:hanging="425"/>
        <w:jc w:val="both"/>
        <w:rPr>
          <w:sz w:val="22"/>
          <w:szCs w:val="22"/>
        </w:rPr>
      </w:pPr>
      <w:r>
        <w:rPr>
          <w:sz w:val="22"/>
          <w:szCs w:val="22"/>
        </w:rPr>
        <w:t>die individuelle stille Einkehr in Kirchen, Moscheen, Synagogen und Häusern anderer Glaubens- und Weltanschauungsgemeinschaften.</w:t>
      </w:r>
    </w:p>
    <w:p w:rsidR="00DE0FCA" w:rsidRDefault="00DE0FCA">
      <w:pPr>
        <w:spacing w:after="0" w:line="240" w:lineRule="auto"/>
        <w:jc w:val="both"/>
        <w:rPr>
          <w:sz w:val="22"/>
          <w:szCs w:val="22"/>
        </w:rPr>
      </w:pPr>
    </w:p>
    <w:p w:rsidR="00DE0FCA" w:rsidRDefault="00E8146F">
      <w:pPr>
        <w:spacing w:after="0" w:line="240" w:lineRule="auto"/>
        <w:jc w:val="center"/>
        <w:rPr>
          <w:sz w:val="22"/>
          <w:szCs w:val="22"/>
        </w:rPr>
      </w:pPr>
      <w:r>
        <w:rPr>
          <w:sz w:val="22"/>
          <w:szCs w:val="22"/>
        </w:rPr>
        <w:t>§ 15</w:t>
      </w:r>
    </w:p>
    <w:p w:rsidR="00DE0FCA" w:rsidRDefault="00E8146F">
      <w:pPr>
        <w:spacing w:after="0" w:line="240" w:lineRule="auto"/>
        <w:jc w:val="center"/>
        <w:rPr>
          <w:sz w:val="22"/>
          <w:szCs w:val="22"/>
        </w:rPr>
      </w:pPr>
      <w:r>
        <w:rPr>
          <w:sz w:val="22"/>
          <w:szCs w:val="22"/>
        </w:rPr>
        <w:t>Schulen, Einrichtungen der Pflege, der Behindertenhilfe und der Kinderbetreuung</w:t>
      </w:r>
    </w:p>
    <w:p w:rsidR="00DE0FCA" w:rsidRDefault="00DE0FCA">
      <w:pPr>
        <w:spacing w:after="0" w:line="240" w:lineRule="auto"/>
        <w:jc w:val="center"/>
        <w:rPr>
          <w:sz w:val="22"/>
          <w:szCs w:val="22"/>
        </w:rPr>
      </w:pPr>
    </w:p>
    <w:p w:rsidR="00DE0FCA" w:rsidRDefault="00E8146F">
      <w:pPr>
        <w:spacing w:after="0" w:line="240" w:lineRule="auto"/>
        <w:jc w:val="both"/>
        <w:rPr>
          <w:sz w:val="22"/>
          <w:szCs w:val="22"/>
        </w:rPr>
      </w:pPr>
      <w:r>
        <w:rPr>
          <w:sz w:val="22"/>
          <w:szCs w:val="22"/>
        </w:rPr>
        <w:t>Das Aufsuchen von Einrichtungen im Sinne von § 7, § 7a und § 8 ist zum Zwecke der Inanspruchnahme der dortigen Betreuungsangebote und um Menschen, die dort betreut werden, dorthin zu begleiten oder abzuholen zulässig.</w:t>
      </w:r>
    </w:p>
    <w:p w:rsidR="00DE0FCA" w:rsidRDefault="00E8146F">
      <w:pPr>
        <w:rPr>
          <w:sz w:val="22"/>
          <w:szCs w:val="22"/>
        </w:rPr>
      </w:pPr>
      <w:r>
        <w:rPr>
          <w:sz w:val="22"/>
          <w:szCs w:val="22"/>
        </w:rPr>
        <w:br w:type="page"/>
      </w:r>
    </w:p>
    <w:p w:rsidR="00DE0FCA" w:rsidRDefault="00DE0FCA">
      <w:pPr>
        <w:spacing w:after="0" w:line="240" w:lineRule="auto"/>
        <w:jc w:val="center"/>
        <w:rPr>
          <w:sz w:val="22"/>
          <w:szCs w:val="22"/>
        </w:rPr>
      </w:pPr>
    </w:p>
    <w:p w:rsidR="00DE0FCA" w:rsidRDefault="00E8146F">
      <w:pPr>
        <w:spacing w:after="0" w:line="240" w:lineRule="auto"/>
        <w:jc w:val="center"/>
        <w:rPr>
          <w:sz w:val="22"/>
          <w:szCs w:val="22"/>
        </w:rPr>
      </w:pPr>
      <w:r>
        <w:rPr>
          <w:sz w:val="22"/>
          <w:szCs w:val="22"/>
        </w:rPr>
        <w:t>§ 16</w:t>
      </w:r>
    </w:p>
    <w:p w:rsidR="00DE0FCA" w:rsidRDefault="00E8146F">
      <w:pPr>
        <w:spacing w:after="0" w:line="240" w:lineRule="auto"/>
        <w:jc w:val="center"/>
        <w:rPr>
          <w:sz w:val="22"/>
          <w:szCs w:val="22"/>
        </w:rPr>
      </w:pPr>
      <w:r>
        <w:rPr>
          <w:sz w:val="22"/>
          <w:szCs w:val="22"/>
        </w:rPr>
        <w:t>Persönliche Hilfeleistungen</w:t>
      </w:r>
    </w:p>
    <w:p w:rsidR="00DE0FCA" w:rsidRDefault="00DE0FCA">
      <w:pPr>
        <w:spacing w:after="0" w:line="240" w:lineRule="auto"/>
        <w:jc w:val="center"/>
        <w:rPr>
          <w:sz w:val="22"/>
          <w:szCs w:val="22"/>
        </w:rPr>
      </w:pPr>
    </w:p>
    <w:p w:rsidR="00DE0FCA" w:rsidRDefault="00E8146F">
      <w:pPr>
        <w:spacing w:after="0" w:line="240" w:lineRule="auto"/>
        <w:jc w:val="both"/>
        <w:rPr>
          <w:sz w:val="22"/>
          <w:szCs w:val="22"/>
        </w:rPr>
      </w:pPr>
      <w:r>
        <w:rPr>
          <w:sz w:val="22"/>
          <w:szCs w:val="22"/>
        </w:rPr>
        <w:t>Zur Hilfeleistung für Menschen, die die in dieser Verordnung bezeichneten Wege nicht selbst zurücklegen oder ihre persönlichen Geschäfte nicht selbst besorgen können, ist die Erledigung der Wege beziehungsweise die Besorgung der Geschäfte durch eine selbstgewählte Hilfsperson zulässig.</w:t>
      </w:r>
    </w:p>
    <w:p w:rsidR="00DE0FCA" w:rsidRDefault="00DE0FCA">
      <w:pPr>
        <w:spacing w:after="0" w:line="240" w:lineRule="auto"/>
        <w:jc w:val="both"/>
        <w:rPr>
          <w:sz w:val="22"/>
          <w:szCs w:val="22"/>
        </w:rPr>
      </w:pPr>
    </w:p>
    <w:p w:rsidR="00DE0FCA" w:rsidRDefault="00E8146F">
      <w:pPr>
        <w:spacing w:after="0" w:line="240" w:lineRule="auto"/>
        <w:jc w:val="center"/>
        <w:rPr>
          <w:sz w:val="22"/>
          <w:szCs w:val="22"/>
        </w:rPr>
      </w:pPr>
      <w:r>
        <w:rPr>
          <w:sz w:val="22"/>
          <w:szCs w:val="22"/>
        </w:rPr>
        <w:t>§ 17</w:t>
      </w:r>
    </w:p>
    <w:p w:rsidR="00DE0FCA" w:rsidRDefault="00E8146F">
      <w:pPr>
        <w:spacing w:after="0" w:line="240" w:lineRule="auto"/>
        <w:jc w:val="center"/>
        <w:rPr>
          <w:sz w:val="22"/>
          <w:szCs w:val="22"/>
        </w:rPr>
      </w:pPr>
      <w:r>
        <w:rPr>
          <w:sz w:val="22"/>
          <w:szCs w:val="22"/>
        </w:rPr>
        <w:t>Ausweispflicht</w:t>
      </w:r>
    </w:p>
    <w:p w:rsidR="00DE0FCA" w:rsidRDefault="00DE0FCA">
      <w:pPr>
        <w:spacing w:after="0" w:line="240" w:lineRule="auto"/>
        <w:jc w:val="center"/>
        <w:rPr>
          <w:sz w:val="22"/>
          <w:szCs w:val="22"/>
        </w:rPr>
      </w:pPr>
    </w:p>
    <w:p w:rsidR="00DE0FCA" w:rsidRDefault="00E8146F">
      <w:pPr>
        <w:spacing w:after="0" w:line="240" w:lineRule="auto"/>
        <w:jc w:val="both"/>
        <w:rPr>
          <w:sz w:val="22"/>
          <w:szCs w:val="22"/>
        </w:rPr>
      </w:pPr>
      <w:r>
        <w:rPr>
          <w:sz w:val="22"/>
          <w:szCs w:val="22"/>
        </w:rPr>
        <w:t>Der Personalausweis oder ein anderer amtlicher Lichtbildausweis nebst einem Dokument, aus dem die Wohnanschrift der Person ersichtlich ist, ist mitzuführen und auf Verlangen der Polizei und den zuständigen Ordnungsbehörden vorzulegen.</w:t>
      </w:r>
    </w:p>
    <w:p w:rsidR="00DE0FCA" w:rsidRDefault="00DE0FCA">
      <w:pPr>
        <w:spacing w:after="0" w:line="240" w:lineRule="auto"/>
        <w:jc w:val="center"/>
        <w:rPr>
          <w:rFonts w:eastAsia="Times New Roman" w:cs="Times New Roman"/>
          <w:sz w:val="22"/>
          <w:szCs w:val="22"/>
          <w:lang w:eastAsia="de-DE"/>
        </w:rPr>
      </w:pPr>
    </w:p>
    <w:p w:rsidR="00DE0FCA" w:rsidRDefault="00DE0FCA">
      <w:pPr>
        <w:spacing w:after="0" w:line="240" w:lineRule="auto"/>
        <w:jc w:val="center"/>
        <w:rPr>
          <w:rFonts w:eastAsia="Times New Roman" w:cs="Times New Roman"/>
          <w:sz w:val="22"/>
          <w:szCs w:val="22"/>
          <w:lang w:eastAsia="de-DE"/>
        </w:rPr>
      </w:pP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6. Teil</w:t>
      </w: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Schlussvorschriften</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 18</w:t>
      </w: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Inkrafttreten, Außerkrafttreten, Evaluation</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(1) Diese Verordnung tritt am 23. März 2020 in Kraft; sie tritt vorbehaltlich des Absatzes 2 mit Ablauf des 19. April 2020 außer Kraft.</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both"/>
        <w:rPr>
          <w:sz w:val="22"/>
          <w:szCs w:val="22"/>
        </w:rPr>
      </w:pPr>
      <w:r>
        <w:rPr>
          <w:sz w:val="22"/>
          <w:szCs w:val="22"/>
        </w:rPr>
        <w:t xml:space="preserve">(2) Teil 5 dieser Verordnung tritt mit Ablauf des 5. April 2020 außer Kraft. </w:t>
      </w:r>
    </w:p>
    <w:p w:rsidR="00DE0FCA" w:rsidRDefault="00DE0FCA">
      <w:pPr>
        <w:spacing w:after="0" w:line="240" w:lineRule="auto"/>
        <w:jc w:val="both"/>
        <w:rPr>
          <w:sz w:val="22"/>
          <w:szCs w:val="22"/>
        </w:rPr>
      </w:pPr>
    </w:p>
    <w:p w:rsidR="00DE0FCA" w:rsidRDefault="00E8146F">
      <w:pPr>
        <w:spacing w:after="0" w:line="240" w:lineRule="auto"/>
        <w:jc w:val="both"/>
        <w:rPr>
          <w:sz w:val="22"/>
          <w:szCs w:val="22"/>
        </w:rPr>
      </w:pPr>
      <w:r>
        <w:rPr>
          <w:sz w:val="22"/>
          <w:szCs w:val="22"/>
        </w:rPr>
        <w:t>(3) Der Verordnungsgeber wird fortlaufend evaluieren, ob die Voraussetzungen zur Aufrechterhaltung dieser Grundrechtseinschränkungen weiter Bestand haben.</w:t>
      </w: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jc w:val="both"/>
        <w:rPr>
          <w:rFonts w:eastAsia="Times New Roman" w:cs="Times New Roman"/>
          <w:sz w:val="22"/>
          <w:szCs w:val="22"/>
          <w:lang w:eastAsia="de-DE"/>
        </w:rPr>
      </w:pPr>
      <w:r>
        <w:rPr>
          <w:rFonts w:eastAsia="Times New Roman" w:cs="Times New Roman"/>
          <w:sz w:val="22"/>
          <w:szCs w:val="22"/>
          <w:lang w:eastAsia="de-DE"/>
        </w:rPr>
        <w:t>(4) Mit Inkrafttreten dieser Verordnung tritt die SARS-CoV-2-Eindämmungsverordnung vom 17. März 2020, die gemäß § 2 Absatz 1 des Gesetzes über die Verkündung von Gesetzen und Rechtsverordnungen am 17. März 2020 verkündet wurde, zuletzt geändert durch die Verordnung vom 21. März 2020, die ebenfalls gemäß § 2 Absatz 1 des Gesetzes über die Verkündung von Gesetzen und Rechtsverordnungen am 21. März 2020 verkündet wurde, außer Kraft.</w:t>
      </w:r>
    </w:p>
    <w:p w:rsidR="00DE0FCA" w:rsidRDefault="00DE0FCA">
      <w:pPr>
        <w:spacing w:after="0" w:line="240" w:lineRule="auto"/>
        <w:jc w:val="both"/>
        <w:rPr>
          <w:rFonts w:eastAsia="Times New Roman" w:cs="Times New Roman"/>
          <w:sz w:val="22"/>
          <w:szCs w:val="22"/>
          <w:lang w:eastAsia="de-DE"/>
        </w:rPr>
      </w:pPr>
    </w:p>
    <w:p w:rsidR="00DE0FCA" w:rsidRDefault="00DE0FCA">
      <w:pPr>
        <w:spacing w:after="0" w:line="240" w:lineRule="auto"/>
        <w:jc w:val="both"/>
        <w:rPr>
          <w:rFonts w:eastAsia="Times New Roman" w:cs="Times New Roman"/>
          <w:sz w:val="22"/>
          <w:szCs w:val="22"/>
          <w:lang w:eastAsia="de-DE"/>
        </w:rPr>
      </w:pPr>
    </w:p>
    <w:p w:rsidR="00DE0FCA" w:rsidRDefault="00E8146F">
      <w:pPr>
        <w:spacing w:after="0" w:line="240" w:lineRule="auto"/>
        <w:rPr>
          <w:rFonts w:eastAsia="Times New Roman" w:cs="Times New Roman"/>
          <w:sz w:val="22"/>
          <w:szCs w:val="22"/>
          <w:lang w:eastAsia="de-DE"/>
        </w:rPr>
      </w:pPr>
      <w:r>
        <w:rPr>
          <w:rFonts w:eastAsia="Times New Roman" w:cs="Times New Roman"/>
          <w:sz w:val="22"/>
          <w:szCs w:val="22"/>
          <w:lang w:eastAsia="de-DE"/>
        </w:rPr>
        <w:t>Berlin, den 22. März 2020</w:t>
      </w:r>
    </w:p>
    <w:p w:rsidR="00DE0FCA" w:rsidRDefault="00DE0FCA">
      <w:pPr>
        <w:spacing w:after="0" w:line="240" w:lineRule="auto"/>
        <w:rPr>
          <w:rFonts w:eastAsia="Times New Roman" w:cs="Times New Roman"/>
          <w:sz w:val="22"/>
          <w:szCs w:val="22"/>
          <w:lang w:eastAsia="de-DE"/>
        </w:rPr>
      </w:pPr>
    </w:p>
    <w:p w:rsidR="00DE0FCA" w:rsidRDefault="00E8146F">
      <w:pPr>
        <w:spacing w:after="0" w:line="240" w:lineRule="auto"/>
        <w:jc w:val="center"/>
        <w:rPr>
          <w:rFonts w:eastAsia="Times New Roman" w:cs="Times New Roman"/>
          <w:sz w:val="22"/>
          <w:szCs w:val="22"/>
          <w:lang w:eastAsia="de-DE"/>
        </w:rPr>
      </w:pPr>
      <w:r>
        <w:rPr>
          <w:rFonts w:eastAsia="Times New Roman" w:cs="Times New Roman"/>
          <w:sz w:val="22"/>
          <w:szCs w:val="22"/>
          <w:lang w:eastAsia="de-DE"/>
        </w:rPr>
        <w:t>Der Senat von Berlin</w:t>
      </w:r>
    </w:p>
    <w:p w:rsidR="00DE0FCA" w:rsidRDefault="00DE0FCA">
      <w:pPr>
        <w:spacing w:after="0" w:line="240" w:lineRule="auto"/>
        <w:jc w:val="center"/>
        <w:rPr>
          <w:rFonts w:eastAsia="Times New Roman" w:cs="Times New Roman"/>
          <w:sz w:val="22"/>
          <w:szCs w:val="22"/>
          <w:lang w:eastAsia="de-DE"/>
        </w:rPr>
      </w:pPr>
    </w:p>
    <w:p w:rsidR="00DE0FCA" w:rsidRDefault="00DE0FCA">
      <w:pPr>
        <w:spacing w:after="0" w:line="240" w:lineRule="auto"/>
        <w:rPr>
          <w:rFonts w:eastAsia="Times New Roman" w:cs="Times New Roman"/>
          <w:sz w:val="22"/>
          <w:szCs w:val="22"/>
          <w:lang w:eastAsia="de-DE"/>
        </w:rPr>
      </w:pPr>
    </w:p>
    <w:p w:rsidR="00DE0FCA" w:rsidRDefault="00DE0FCA">
      <w:pPr>
        <w:spacing w:after="0" w:line="240" w:lineRule="auto"/>
        <w:rPr>
          <w:rFonts w:eastAsia="Times New Roman" w:cs="Times New Roman"/>
          <w:sz w:val="22"/>
          <w:szCs w:val="22"/>
          <w:lang w:eastAsia="de-DE"/>
        </w:rPr>
      </w:pPr>
    </w:p>
    <w:p w:rsidR="00DE0FCA" w:rsidRDefault="00DE0FCA">
      <w:pPr>
        <w:spacing w:after="0" w:line="240" w:lineRule="auto"/>
        <w:rPr>
          <w:rFonts w:eastAsia="Times New Roman" w:cs="Times New Roman"/>
          <w:sz w:val="22"/>
          <w:szCs w:val="22"/>
          <w:lang w:eastAsia="de-DE"/>
        </w:rPr>
      </w:pPr>
    </w:p>
    <w:p w:rsidR="00DE0FCA" w:rsidRDefault="00E8146F">
      <w:pPr>
        <w:spacing w:after="0" w:line="240" w:lineRule="auto"/>
        <w:rPr>
          <w:rFonts w:eastAsia="Times New Roman" w:cs="Times New Roman"/>
          <w:sz w:val="22"/>
          <w:szCs w:val="22"/>
          <w:lang w:eastAsia="de-DE"/>
        </w:rPr>
      </w:pPr>
      <w:r>
        <w:rPr>
          <w:rFonts w:eastAsia="Times New Roman" w:cs="Times New Roman"/>
          <w:sz w:val="22"/>
          <w:szCs w:val="22"/>
          <w:lang w:eastAsia="de-DE"/>
        </w:rPr>
        <w:t>Michael Müller</w:t>
      </w:r>
      <w:r>
        <w:rPr>
          <w:rFonts w:eastAsia="Times New Roman" w:cs="Times New Roman"/>
          <w:sz w:val="22"/>
          <w:szCs w:val="22"/>
          <w:lang w:eastAsia="de-DE"/>
        </w:rPr>
        <w:tab/>
      </w:r>
      <w:r>
        <w:rPr>
          <w:rFonts w:eastAsia="Times New Roman" w:cs="Times New Roman"/>
          <w:sz w:val="22"/>
          <w:szCs w:val="22"/>
          <w:lang w:eastAsia="de-DE"/>
        </w:rPr>
        <w:tab/>
      </w:r>
      <w:r>
        <w:rPr>
          <w:rFonts w:eastAsia="Times New Roman" w:cs="Times New Roman"/>
          <w:sz w:val="22"/>
          <w:szCs w:val="22"/>
          <w:lang w:eastAsia="de-DE"/>
        </w:rPr>
        <w:tab/>
      </w:r>
      <w:r>
        <w:rPr>
          <w:rFonts w:eastAsia="Times New Roman" w:cs="Times New Roman"/>
          <w:sz w:val="22"/>
          <w:szCs w:val="22"/>
          <w:lang w:eastAsia="de-DE"/>
        </w:rPr>
        <w:tab/>
      </w:r>
      <w:r>
        <w:rPr>
          <w:rFonts w:eastAsia="Times New Roman" w:cs="Times New Roman"/>
          <w:sz w:val="22"/>
          <w:szCs w:val="22"/>
          <w:lang w:eastAsia="de-DE"/>
        </w:rPr>
        <w:tab/>
      </w:r>
      <w:r>
        <w:rPr>
          <w:rFonts w:eastAsia="Times New Roman" w:cs="Times New Roman"/>
          <w:sz w:val="22"/>
          <w:szCs w:val="22"/>
          <w:lang w:eastAsia="de-DE"/>
        </w:rPr>
        <w:tab/>
      </w:r>
      <w:r>
        <w:rPr>
          <w:rFonts w:eastAsia="Times New Roman" w:cs="Times New Roman"/>
          <w:sz w:val="22"/>
          <w:szCs w:val="22"/>
          <w:lang w:eastAsia="de-DE"/>
        </w:rPr>
        <w:tab/>
        <w:t>Dilek Kalayci</w:t>
      </w:r>
    </w:p>
    <w:p w:rsidR="00DE0FCA" w:rsidRDefault="00E8146F">
      <w:pPr>
        <w:spacing w:after="0" w:line="240" w:lineRule="auto"/>
        <w:rPr>
          <w:rFonts w:eastAsia="Times New Roman" w:cs="Times New Roman"/>
          <w:sz w:val="22"/>
          <w:szCs w:val="22"/>
          <w:lang w:eastAsia="de-DE"/>
        </w:rPr>
      </w:pPr>
      <w:r>
        <w:rPr>
          <w:rFonts w:eastAsia="Times New Roman" w:cs="Times New Roman"/>
          <w:sz w:val="22"/>
          <w:szCs w:val="22"/>
          <w:lang w:eastAsia="de-DE"/>
        </w:rPr>
        <w:t>Regierender Bürgermeister</w:t>
      </w:r>
      <w:r>
        <w:rPr>
          <w:rFonts w:eastAsia="Times New Roman" w:cs="Times New Roman"/>
          <w:sz w:val="22"/>
          <w:szCs w:val="22"/>
          <w:lang w:eastAsia="de-DE"/>
        </w:rPr>
        <w:tab/>
      </w:r>
      <w:r>
        <w:rPr>
          <w:rFonts w:eastAsia="Times New Roman" w:cs="Times New Roman"/>
          <w:sz w:val="22"/>
          <w:szCs w:val="22"/>
          <w:lang w:eastAsia="de-DE"/>
        </w:rPr>
        <w:tab/>
      </w:r>
      <w:r>
        <w:rPr>
          <w:rFonts w:eastAsia="Times New Roman" w:cs="Times New Roman"/>
          <w:sz w:val="22"/>
          <w:szCs w:val="22"/>
          <w:lang w:eastAsia="de-DE"/>
        </w:rPr>
        <w:tab/>
      </w:r>
      <w:r>
        <w:rPr>
          <w:rFonts w:eastAsia="Times New Roman" w:cs="Times New Roman"/>
          <w:sz w:val="22"/>
          <w:szCs w:val="22"/>
          <w:lang w:eastAsia="de-DE"/>
        </w:rPr>
        <w:tab/>
      </w:r>
      <w:r>
        <w:rPr>
          <w:rFonts w:eastAsia="Times New Roman" w:cs="Times New Roman"/>
          <w:sz w:val="22"/>
          <w:szCs w:val="22"/>
          <w:lang w:eastAsia="de-DE"/>
        </w:rPr>
        <w:tab/>
      </w:r>
      <w:r>
        <w:rPr>
          <w:rFonts w:eastAsia="Times New Roman" w:cs="Times New Roman"/>
          <w:sz w:val="22"/>
          <w:szCs w:val="22"/>
          <w:lang w:eastAsia="de-DE"/>
        </w:rPr>
        <w:tab/>
        <w:t>Senatorin für Gesundheit,</w:t>
      </w:r>
    </w:p>
    <w:p w:rsidR="00DE0FCA" w:rsidRDefault="00E8146F">
      <w:pPr>
        <w:spacing w:after="0" w:line="240" w:lineRule="auto"/>
        <w:rPr>
          <w:rFonts w:eastAsia="Times New Roman" w:cs="Times New Roman"/>
          <w:sz w:val="22"/>
          <w:szCs w:val="22"/>
          <w:lang w:eastAsia="de-DE"/>
        </w:rPr>
      </w:pPr>
      <w:r>
        <w:rPr>
          <w:rFonts w:eastAsia="Times New Roman" w:cs="Times New Roman"/>
          <w:sz w:val="22"/>
          <w:szCs w:val="22"/>
          <w:lang w:eastAsia="de-DE"/>
        </w:rPr>
        <w:tab/>
      </w:r>
      <w:r>
        <w:rPr>
          <w:rFonts w:eastAsia="Times New Roman" w:cs="Times New Roman"/>
          <w:sz w:val="22"/>
          <w:szCs w:val="22"/>
          <w:lang w:eastAsia="de-DE"/>
        </w:rPr>
        <w:tab/>
      </w:r>
      <w:r>
        <w:rPr>
          <w:rFonts w:eastAsia="Times New Roman" w:cs="Times New Roman"/>
          <w:sz w:val="22"/>
          <w:szCs w:val="22"/>
          <w:lang w:eastAsia="de-DE"/>
        </w:rPr>
        <w:tab/>
      </w:r>
      <w:r>
        <w:rPr>
          <w:rFonts w:eastAsia="Times New Roman" w:cs="Times New Roman"/>
          <w:sz w:val="22"/>
          <w:szCs w:val="22"/>
          <w:lang w:eastAsia="de-DE"/>
        </w:rPr>
        <w:tab/>
      </w:r>
      <w:r>
        <w:rPr>
          <w:rFonts w:eastAsia="Times New Roman" w:cs="Times New Roman"/>
          <w:sz w:val="22"/>
          <w:szCs w:val="22"/>
          <w:lang w:eastAsia="de-DE"/>
        </w:rPr>
        <w:tab/>
      </w:r>
      <w:r>
        <w:rPr>
          <w:rFonts w:eastAsia="Times New Roman" w:cs="Times New Roman"/>
          <w:sz w:val="22"/>
          <w:szCs w:val="22"/>
          <w:lang w:eastAsia="de-DE"/>
        </w:rPr>
        <w:tab/>
      </w:r>
      <w:r>
        <w:rPr>
          <w:rFonts w:eastAsia="Times New Roman" w:cs="Times New Roman"/>
          <w:sz w:val="22"/>
          <w:szCs w:val="22"/>
          <w:lang w:eastAsia="de-DE"/>
        </w:rPr>
        <w:tab/>
      </w:r>
      <w:r>
        <w:rPr>
          <w:rFonts w:eastAsia="Times New Roman" w:cs="Times New Roman"/>
          <w:sz w:val="22"/>
          <w:szCs w:val="22"/>
          <w:lang w:eastAsia="de-DE"/>
        </w:rPr>
        <w:tab/>
      </w:r>
      <w:r>
        <w:rPr>
          <w:rFonts w:eastAsia="Times New Roman" w:cs="Times New Roman"/>
          <w:sz w:val="22"/>
          <w:szCs w:val="22"/>
          <w:lang w:eastAsia="de-DE"/>
        </w:rPr>
        <w:tab/>
        <w:t>Pflege und Gleichstellung</w:t>
      </w:r>
    </w:p>
    <w:sectPr w:rsidR="00DE0FC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323" w:rsidRDefault="00117323">
      <w:pPr>
        <w:spacing w:after="0" w:line="240" w:lineRule="auto"/>
      </w:pPr>
      <w:r>
        <w:separator/>
      </w:r>
    </w:p>
  </w:endnote>
  <w:endnote w:type="continuationSeparator" w:id="0">
    <w:p w:rsidR="00117323" w:rsidRDefault="0011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CA" w:rsidRDefault="00DE0FC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CA" w:rsidRDefault="00DE0FC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CA" w:rsidRDefault="00DE0F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323" w:rsidRDefault="00117323">
      <w:pPr>
        <w:spacing w:after="0" w:line="240" w:lineRule="auto"/>
      </w:pPr>
      <w:r>
        <w:separator/>
      </w:r>
    </w:p>
  </w:footnote>
  <w:footnote w:type="continuationSeparator" w:id="0">
    <w:p w:rsidR="00117323" w:rsidRDefault="00117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CA" w:rsidRDefault="00DE0FC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CA" w:rsidRDefault="00DE0FC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CA" w:rsidRDefault="00DE0FC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B1CE6"/>
    <w:multiLevelType w:val="hybridMultilevel"/>
    <w:tmpl w:val="D1D68F72"/>
    <w:lvl w:ilvl="0" w:tplc="75A0118A">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C4D706">
      <w:start w:val="1"/>
      <w:numFmt w:val="lowerLetter"/>
      <w:lvlText w:val="%2)"/>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D05FEC">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925C72">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C22F8C">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B822AA">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BC7F5A">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9C8226">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6C1284">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50EC39C9"/>
    <w:multiLevelType w:val="hybridMultilevel"/>
    <w:tmpl w:val="B03A4916"/>
    <w:lvl w:ilvl="0" w:tplc="1BBE910A">
      <w:start w:val="1"/>
      <w:numFmt w:val="decimal"/>
      <w:lvlText w:val="(%1)"/>
      <w:lvlJc w:val="left"/>
      <w:pPr>
        <w:ind w:left="1116" w:hanging="396"/>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
    <w:nsid w:val="534F48A7"/>
    <w:multiLevelType w:val="hybridMultilevel"/>
    <w:tmpl w:val="8710F5A4"/>
    <w:lvl w:ilvl="0" w:tplc="9EC8C7F4">
      <w:start w:val="1"/>
      <w:numFmt w:val="decimal"/>
      <w:lvlText w:val="%1."/>
      <w:lvlJc w:val="left"/>
      <w:pPr>
        <w:ind w:left="720" w:hanging="360"/>
      </w:pPr>
      <w:rPr>
        <w:rFonts w:ascii="Calibri" w:eastAsia="Calibri" w:hAnsi="Calibri" w:cs="Times New Roman" w:hint="default"/>
        <w:color w:val="1F497D"/>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CA"/>
    <w:rsid w:val="00117323"/>
    <w:rsid w:val="00A2295A"/>
    <w:rsid w:val="00DE0FCA"/>
    <w:rsid w:val="00E814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rPr>
      <w:rFonts w:eastAsia="Times New Roman" w:cs="Times New Roman"/>
      <w:sz w:val="22"/>
      <w:szCs w:val="20"/>
      <w:lang w:eastAsia="de-DE"/>
    </w:rPr>
  </w:style>
  <w:style w:type="character" w:customStyle="1" w:styleId="KopfzeileZchn">
    <w:name w:val="Kopfzeile Zchn"/>
    <w:basedOn w:val="Absatz-Standardschriftart"/>
    <w:link w:val="Kopfzeile"/>
    <w:uiPriority w:val="99"/>
    <w:rPr>
      <w:rFonts w:eastAsia="Times New Roman" w:cs="Times New Roman"/>
      <w:sz w:val="22"/>
      <w:szCs w:val="20"/>
      <w:lang w:eastAsia="de-DE"/>
    </w:rPr>
  </w:style>
  <w:style w:type="paragraph" w:styleId="Fuzeile">
    <w:name w:val="footer"/>
    <w:basedOn w:val="Standard"/>
    <w:link w:val="FuzeileZchn"/>
    <w:uiPriority w:val="99"/>
    <w:unhideWhenUsed/>
    <w:pPr>
      <w:tabs>
        <w:tab w:val="center" w:pos="4536"/>
        <w:tab w:val="right" w:pos="9072"/>
      </w:tabs>
      <w:spacing w:after="0" w:line="240" w:lineRule="auto"/>
    </w:pPr>
    <w:rPr>
      <w:rFonts w:eastAsia="Times New Roman" w:cs="Times New Roman"/>
      <w:sz w:val="22"/>
      <w:szCs w:val="20"/>
      <w:lang w:eastAsia="de-DE"/>
    </w:rPr>
  </w:style>
  <w:style w:type="character" w:customStyle="1" w:styleId="FuzeileZchn">
    <w:name w:val="Fußzeile Zchn"/>
    <w:basedOn w:val="Absatz-Standardschriftart"/>
    <w:link w:val="Fuzeile"/>
    <w:uiPriority w:val="99"/>
    <w:rPr>
      <w:rFonts w:eastAsia="Times New Roman" w:cs="Times New Roman"/>
      <w:sz w:val="22"/>
      <w:szCs w:val="20"/>
      <w:lang w:eastAsia="de-DE"/>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rPr>
      <w:rFonts w:eastAsia="Times New Roman" w:cs="Times New Roman"/>
      <w:sz w:val="22"/>
      <w:szCs w:val="20"/>
      <w:lang w:eastAsia="de-DE"/>
    </w:rPr>
  </w:style>
  <w:style w:type="character" w:customStyle="1" w:styleId="KopfzeileZchn">
    <w:name w:val="Kopfzeile Zchn"/>
    <w:basedOn w:val="Absatz-Standardschriftart"/>
    <w:link w:val="Kopfzeile"/>
    <w:uiPriority w:val="99"/>
    <w:rPr>
      <w:rFonts w:eastAsia="Times New Roman" w:cs="Times New Roman"/>
      <w:sz w:val="22"/>
      <w:szCs w:val="20"/>
      <w:lang w:eastAsia="de-DE"/>
    </w:rPr>
  </w:style>
  <w:style w:type="paragraph" w:styleId="Fuzeile">
    <w:name w:val="footer"/>
    <w:basedOn w:val="Standard"/>
    <w:link w:val="FuzeileZchn"/>
    <w:uiPriority w:val="99"/>
    <w:unhideWhenUsed/>
    <w:pPr>
      <w:tabs>
        <w:tab w:val="center" w:pos="4536"/>
        <w:tab w:val="right" w:pos="9072"/>
      </w:tabs>
      <w:spacing w:after="0" w:line="240" w:lineRule="auto"/>
    </w:pPr>
    <w:rPr>
      <w:rFonts w:eastAsia="Times New Roman" w:cs="Times New Roman"/>
      <w:sz w:val="22"/>
      <w:szCs w:val="20"/>
      <w:lang w:eastAsia="de-DE"/>
    </w:rPr>
  </w:style>
  <w:style w:type="character" w:customStyle="1" w:styleId="FuzeileZchn">
    <w:name w:val="Fußzeile Zchn"/>
    <w:basedOn w:val="Absatz-Standardschriftart"/>
    <w:link w:val="Fuzeile"/>
    <w:uiPriority w:val="99"/>
    <w:rPr>
      <w:rFonts w:eastAsia="Times New Roman" w:cs="Times New Roman"/>
      <w:sz w:val="22"/>
      <w:szCs w:val="20"/>
      <w:lang w:eastAsia="de-DE"/>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64128">
      <w:bodyDiv w:val="1"/>
      <w:marLeft w:val="0"/>
      <w:marRight w:val="0"/>
      <w:marTop w:val="0"/>
      <w:marBottom w:val="0"/>
      <w:divBdr>
        <w:top w:val="none" w:sz="0" w:space="0" w:color="auto"/>
        <w:left w:val="none" w:sz="0" w:space="0" w:color="auto"/>
        <w:bottom w:val="none" w:sz="0" w:space="0" w:color="auto"/>
        <w:right w:val="none" w:sz="0" w:space="0" w:color="auto"/>
      </w:divBdr>
    </w:div>
    <w:div w:id="776409200">
      <w:bodyDiv w:val="1"/>
      <w:marLeft w:val="0"/>
      <w:marRight w:val="0"/>
      <w:marTop w:val="0"/>
      <w:marBottom w:val="0"/>
      <w:divBdr>
        <w:top w:val="none" w:sz="0" w:space="0" w:color="auto"/>
        <w:left w:val="none" w:sz="0" w:space="0" w:color="auto"/>
        <w:bottom w:val="none" w:sz="0" w:space="0" w:color="auto"/>
        <w:right w:val="none" w:sz="0" w:space="0" w:color="auto"/>
      </w:divBdr>
    </w:div>
    <w:div w:id="1726492968">
      <w:bodyDiv w:val="1"/>
      <w:marLeft w:val="0"/>
      <w:marRight w:val="0"/>
      <w:marTop w:val="0"/>
      <w:marBottom w:val="0"/>
      <w:divBdr>
        <w:top w:val="none" w:sz="0" w:space="0" w:color="auto"/>
        <w:left w:val="none" w:sz="0" w:space="0" w:color="auto"/>
        <w:bottom w:val="none" w:sz="0" w:space="0" w:color="auto"/>
        <w:right w:val="none" w:sz="0" w:space="0" w:color="auto"/>
      </w:divBdr>
    </w:div>
    <w:div w:id="20638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3190</Words>
  <Characters>18184</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Senatskanzlei</Company>
  <LinksUpToDate>false</LinksUpToDate>
  <CharactersWithSpaces>21332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Gloeck</dc:creator>
  <cp:lastModifiedBy>PC2710</cp:lastModifiedBy>
  <cp:revision>2</cp:revision>
  <cp:lastPrinted>2020-03-22T15:47:00Z</cp:lastPrinted>
  <dcterms:created xsi:type="dcterms:W3CDTF">2020-03-23T13:40:00Z</dcterms:created>
  <dcterms:modified xsi:type="dcterms:W3CDTF">2020-03-23T13:40:00Z</dcterms:modified>
</cp:coreProperties>
</file>